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9123" w14:textId="2B91AD64" w:rsidR="00B90FD1" w:rsidRPr="00701448" w:rsidRDefault="003072BB" w:rsidP="00970D20">
      <w:pPr>
        <w:jc w:val="left"/>
        <w:rPr>
          <w:highlight w:val="lightGray"/>
        </w:rPr>
      </w:pPr>
      <w:r>
        <w:rPr>
          <w:noProof/>
        </w:rPr>
        <mc:AlternateContent>
          <mc:Choice Requires="wps">
            <w:drawing>
              <wp:anchor distT="0" distB="0" distL="114300" distR="114300" simplePos="0" relativeHeight="251728896" behindDoc="0" locked="0" layoutInCell="1" allowOverlap="1" wp14:anchorId="565BC07F" wp14:editId="6632596F">
                <wp:simplePos x="0" y="0"/>
                <wp:positionH relativeFrom="margin">
                  <wp:align>right</wp:align>
                </wp:positionH>
                <wp:positionV relativeFrom="paragraph">
                  <wp:posOffset>-167625</wp:posOffset>
                </wp:positionV>
                <wp:extent cx="742315" cy="340242"/>
                <wp:effectExtent l="0" t="0" r="19685" b="22225"/>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40242"/>
                        </a:xfrm>
                        <a:prstGeom prst="rect">
                          <a:avLst/>
                        </a:prstGeom>
                        <a:solidFill>
                          <a:srgbClr val="FFFFFF"/>
                        </a:solidFill>
                        <a:ln w="9525">
                          <a:solidFill>
                            <a:srgbClr val="000000"/>
                          </a:solidFill>
                          <a:miter lim="800000"/>
                          <a:headEnd/>
                          <a:tailEnd/>
                        </a:ln>
                      </wps:spPr>
                      <wps:txbx>
                        <w:txbxContent>
                          <w:p w14:paraId="6AADE0FF" w14:textId="1EFDE38F" w:rsidR="00270029" w:rsidRPr="0048623A" w:rsidRDefault="00270029" w:rsidP="001F0D7D">
                            <w:pPr>
                              <w:jc w:val="center"/>
                              <w:rPr>
                                <w:sz w:val="28"/>
                              </w:rPr>
                            </w:pPr>
                            <w:r w:rsidRPr="0048623A">
                              <w:rPr>
                                <w:rFonts w:hint="eastAsia"/>
                                <w:sz w:val="28"/>
                              </w:rPr>
                              <w:t>別添</w:t>
                            </w:r>
                            <w:r w:rsidRPr="0048623A">
                              <w:rPr>
                                <w:rFonts w:asciiTheme="minorEastAsia" w:eastAsiaTheme="minorEastAsia" w:hAnsiTheme="minorEastAsia" w:hint="eastAsia"/>
                                <w:sz w:val="28"/>
                              </w:rPr>
                              <w:t>7</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BC07F" id="_x0000_t202" coordsize="21600,21600" o:spt="202" path="m,l,21600r21600,l21600,xe">
                <v:stroke joinstyle="miter"/>
                <v:path gradientshapeok="t" o:connecttype="rect"/>
              </v:shapetype>
              <v:shape id="Text Box 111" o:spid="_x0000_s1026" type="#_x0000_t202" style="position:absolute;margin-left:7.25pt;margin-top:-13.2pt;width:58.45pt;height:26.8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">
                <v:textbox inset="5.85pt,.7pt,5.85pt,.7pt">
                  <w:txbxContent>
                    <w:p w14:paraId="6AADE0FF" w14:textId="1EFDE38F" w:rsidR="00270029" w:rsidRPr="0048623A" w:rsidRDefault="00270029" w:rsidP="001F0D7D">
                      <w:pPr>
                        <w:jc w:val="center"/>
                        <w:rPr>
                          <w:sz w:val="28"/>
                        </w:rPr>
                      </w:pPr>
                      <w:r w:rsidRPr="0048623A">
                        <w:rPr>
                          <w:rFonts w:hint="eastAsia"/>
                          <w:sz w:val="28"/>
                        </w:rPr>
                        <w:t>別添</w:t>
                      </w:r>
                      <w:r w:rsidRPr="0048623A">
                        <w:rPr>
                          <w:rFonts w:asciiTheme="minorEastAsia" w:eastAsiaTheme="minorEastAsia" w:hAnsiTheme="minorEastAsia" w:hint="eastAsia"/>
                          <w:sz w:val="28"/>
                        </w:rPr>
                        <w:t>7</w:t>
                      </w:r>
                    </w:p>
                  </w:txbxContent>
                </v:textbox>
                <w10:wrap anchorx="margin"/>
              </v:shape>
            </w:pict>
          </mc:Fallback>
        </mc:AlternateContent>
      </w:r>
    </w:p>
    <w:p w14:paraId="23860980" w14:textId="48C608DE" w:rsidR="00710C8B" w:rsidRDefault="0068114F"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r w:rsidR="00710C8B">
        <w:rPr>
          <w:rFonts w:hint="eastAsia"/>
          <w:sz w:val="24"/>
        </w:rPr>
        <w:t xml:space="preserve">                        </w:t>
      </w:r>
      <w:r w:rsidR="00FB606C" w:rsidRPr="00FB606C">
        <w:rPr>
          <w:rFonts w:hint="eastAsia"/>
          <w:sz w:val="24"/>
        </w:rPr>
        <w:t>2019</w:t>
      </w:r>
      <w:r w:rsidR="00FB606C" w:rsidRPr="00FB606C">
        <w:rPr>
          <w:rFonts w:hint="eastAsia"/>
          <w:sz w:val="24"/>
        </w:rPr>
        <w:t>度新エネ技戦第</w:t>
      </w:r>
      <w:r w:rsidR="00FB606C" w:rsidRPr="00FB606C">
        <w:rPr>
          <w:rFonts w:hint="eastAsia"/>
          <w:sz w:val="24"/>
        </w:rPr>
        <w:t>0317001</w:t>
      </w:r>
      <w:r w:rsidR="00710C8B">
        <w:rPr>
          <w:rFonts w:hint="eastAsia"/>
          <w:sz w:val="24"/>
        </w:rPr>
        <w:t>号</w:t>
      </w:r>
    </w:p>
    <w:p w14:paraId="68273AE8" w14:textId="6073209B"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00FB606C">
        <w:rPr>
          <w:rFonts w:hint="eastAsia"/>
          <w:sz w:val="24"/>
        </w:rPr>
        <w:t>2019</w:t>
      </w:r>
      <w:r>
        <w:rPr>
          <w:rFonts w:hint="eastAsia"/>
          <w:sz w:val="24"/>
        </w:rPr>
        <w:t>年</w:t>
      </w:r>
      <w:r w:rsidR="00FB606C">
        <w:rPr>
          <w:rFonts w:hint="eastAsia"/>
          <w:sz w:val="24"/>
        </w:rPr>
        <w:t>3</w:t>
      </w:r>
      <w:r>
        <w:rPr>
          <w:rFonts w:hint="eastAsia"/>
          <w:sz w:val="24"/>
        </w:rPr>
        <w:t>月</w:t>
      </w:r>
      <w:r w:rsidR="00BD0787">
        <w:rPr>
          <w:rFonts w:hint="eastAsia"/>
          <w:sz w:val="24"/>
        </w:rPr>
        <w:t>18</w:t>
      </w:r>
      <w:r>
        <w:rPr>
          <w:rFonts w:hint="eastAsia"/>
          <w:sz w:val="24"/>
        </w:rPr>
        <w:t>日</w:t>
      </w:r>
    </w:p>
    <w:p w14:paraId="440BB417"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1008C015" w14:textId="008321D8"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3ABDA46B" w14:textId="77777777" w:rsidR="00710C8B" w:rsidRPr="00A615AC" w:rsidRDefault="00710C8B" w:rsidP="00D67A71">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18597EF4" w14:textId="77777777" w:rsidR="00710C8B" w:rsidRPr="009215C8" w:rsidRDefault="00710C8B" w:rsidP="00D67A71">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3C682790" w14:textId="77777777" w:rsidR="00710C8B" w:rsidRPr="0025139F"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02C29FC0" w14:textId="77777777"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7F773375" w14:textId="77777777"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1AFDFDE1" w14:textId="0D135400" w:rsidR="00710C8B" w:rsidRPr="001B497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sidR="00891A26">
        <w:rPr>
          <w:rFonts w:hint="eastAsia"/>
          <w:sz w:val="24"/>
        </w:rPr>
        <w:t>２０１５</w:t>
      </w:r>
      <w:r w:rsidRPr="001B497B">
        <w:rPr>
          <w:rFonts w:hint="eastAsia"/>
          <w:sz w:val="24"/>
        </w:rPr>
        <w:t>年</w:t>
      </w:r>
      <w:r>
        <w:rPr>
          <w:rFonts w:hint="eastAsia"/>
          <w:sz w:val="24"/>
        </w:rPr>
        <w:t>５</w:t>
      </w:r>
      <w:r w:rsidRPr="001B497B">
        <w:rPr>
          <w:rFonts w:hint="eastAsia"/>
          <w:sz w:val="24"/>
        </w:rPr>
        <w:t>月</w:t>
      </w:r>
      <w:r w:rsidR="00B54931">
        <w:rPr>
          <w:rFonts w:hint="eastAsia"/>
          <w:sz w:val="24"/>
        </w:rPr>
        <w:t>制定、２０２０年１月改訂</w:t>
      </w:r>
      <w:r w:rsidRPr="001B497B">
        <w:rPr>
          <w:rFonts w:hint="eastAsia"/>
          <w:sz w:val="24"/>
        </w:rPr>
        <w:t>）を参考にする。</w:t>
      </w:r>
    </w:p>
    <w:p w14:paraId="1D015A36"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57EE894E" w14:textId="7D572170"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75165E4F" w14:textId="7A75F1C9"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762CE8E5" w14:textId="381354E6"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33EF7E1F" w14:textId="6B3B3B0B" w:rsidR="00710C8B" w:rsidRPr="00424D42"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05C63884" w14:textId="5CA341FC"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2072DDD9"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71B582A7" w14:textId="71BDE2D4" w:rsidR="00710C8B" w:rsidRPr="00424D42"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p>
    <w:p w14:paraId="5B62430B" w14:textId="77777777"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3B2D8EE" w14:textId="13826315" w:rsidR="00710C8B" w:rsidRDefault="00710C8B" w:rsidP="00D67A7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5F391DCB" w14:textId="2E0A01F5"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2D38CDD6" w14:textId="77777777" w:rsidR="00710C8B" w:rsidRPr="00B36090"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23AE7E52" w14:textId="0131B035" w:rsidR="0048623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00B54931">
        <w:rPr>
          <w:rFonts w:hint="eastAsia"/>
          <w:sz w:val="24"/>
        </w:rPr>
        <w:t>「</w:t>
      </w:r>
      <w:r w:rsidRPr="00F53A8A">
        <w:rPr>
          <w:rFonts w:hint="eastAsia"/>
          <w:sz w:val="24"/>
        </w:rPr>
        <w:t>フォアグラウンドＩＰ</w:t>
      </w:r>
      <w:r w:rsidR="00B54931">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46555294" w14:textId="77777777" w:rsidR="00710C8B" w:rsidRPr="00424D42"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524DC757" w14:textId="1A2A65B6"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lastRenderedPageBreak/>
        <w:t xml:space="preserve">　</w:t>
      </w:r>
      <w:r w:rsidR="00B54931">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0CE52AB4" w14:textId="77777777" w:rsidR="00710C8B" w:rsidRPr="00F53A8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4EA3E38D"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005D7FDA" w14:textId="41B60F65" w:rsidR="00710C8B" w:rsidRPr="001B497B" w:rsidRDefault="002A16A3"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00710C8B" w:rsidRPr="001B497B">
        <w:rPr>
          <w:rFonts w:hint="eastAsia"/>
          <w:sz w:val="24"/>
        </w:rPr>
        <w:t>条）</w:t>
      </w:r>
      <w:r w:rsidR="00B54931">
        <w:rPr>
          <w:rFonts w:hint="eastAsia"/>
          <w:sz w:val="24"/>
        </w:rPr>
        <w:t>について</w:t>
      </w:r>
    </w:p>
    <w:p w14:paraId="1DFE89B1" w14:textId="48DBC7F6"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sidR="002A16A3">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00B54931" w:rsidRPr="00181153">
        <w:rPr>
          <w:rFonts w:hint="eastAsia"/>
          <w:sz w:val="24"/>
        </w:rPr>
        <w:t>ただし、研究開発の受託者が国外企業等</w:t>
      </w:r>
      <w:r w:rsidR="00B54931">
        <w:rPr>
          <w:rFonts w:hint="eastAsia"/>
          <w:sz w:val="24"/>
        </w:rPr>
        <w:t>（日本以外の国の企業、大学又は研究機関をいう。以下同じ。）</w:t>
      </w:r>
      <w:r w:rsidR="00B54931" w:rsidRPr="00181153">
        <w:rPr>
          <w:rFonts w:hint="eastAsia"/>
          <w:sz w:val="24"/>
        </w:rPr>
        <w:t>の場合には、</w:t>
      </w:r>
      <w:r w:rsidR="00B54931">
        <w:rPr>
          <w:rFonts w:hint="eastAsia"/>
          <w:sz w:val="24"/>
        </w:rPr>
        <w:t>当該受託者が以下の</w:t>
      </w:r>
      <w:r w:rsidR="00B54931" w:rsidRPr="00181153">
        <w:rPr>
          <w:rFonts w:hint="eastAsia"/>
          <w:sz w:val="24"/>
        </w:rPr>
        <w:t>事項を遵守することを条件として、フォアグラ</w:t>
      </w:r>
      <w:r w:rsidR="00B54931">
        <w:rPr>
          <w:rFonts w:hint="eastAsia"/>
          <w:sz w:val="24"/>
        </w:rPr>
        <w:t>ウンドＩＰについて受託者とＮＥＤＯ</w:t>
      </w:r>
      <w:r w:rsidR="00B54931" w:rsidRPr="00181153">
        <w:rPr>
          <w:rFonts w:hint="eastAsia"/>
          <w:sz w:val="24"/>
        </w:rPr>
        <w:t>との共有</w:t>
      </w:r>
      <w:r w:rsidR="00B54931">
        <w:rPr>
          <w:rFonts w:hint="eastAsia"/>
          <w:sz w:val="24"/>
        </w:rPr>
        <w:t>とすることができるものとし、当該受託者とＮＥＤＯの持分の合計のうち５０％以上の持分はＮＥＤＯ</w:t>
      </w:r>
      <w:r w:rsidR="00B54931" w:rsidRPr="00181153">
        <w:rPr>
          <w:rFonts w:hint="eastAsia"/>
          <w:sz w:val="24"/>
        </w:rPr>
        <w:t>に帰属するものとする。</w:t>
      </w:r>
    </w:p>
    <w:p w14:paraId="48F5075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7B26A99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4590D4"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28D1CFB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14194F08"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29F9B34F"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6B60A986" w14:textId="368AB485"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765472FC"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20CC30C0" w14:textId="77777777" w:rsidR="00710C8B" w:rsidRPr="00285A93"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32213745" w14:textId="349DD7D5" w:rsidR="00B54931" w:rsidRDefault="00710C8B" w:rsidP="00B54931">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sidR="00B54931">
        <w:rPr>
          <w:rFonts w:hint="eastAsia"/>
          <w:sz w:val="24"/>
        </w:rPr>
        <w:t>①</w:t>
      </w:r>
      <w:r w:rsidR="00B54931" w:rsidRPr="00CF7AE9">
        <w:rPr>
          <w:rFonts w:hint="eastAsia"/>
          <w:sz w:val="24"/>
        </w:rPr>
        <w:t>受託者が合併又は買収された場合は、速やかに</w:t>
      </w:r>
      <w:r w:rsidR="00B54931">
        <w:rPr>
          <w:rFonts w:hint="eastAsia"/>
          <w:sz w:val="24"/>
        </w:rPr>
        <w:t>ＮＥＤＯに報告するものとし、ＮＥＤＯ</w:t>
      </w:r>
      <w:r w:rsidR="00B54931"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3F522DC7" w14:textId="77777777" w:rsidR="00B54931" w:rsidRDefault="00B54931" w:rsidP="00B54931">
      <w:pPr>
        <w:widowControl/>
        <w:pBdr>
          <w:top w:val="single" w:sz="4" w:space="1" w:color="auto"/>
          <w:left w:val="single" w:sz="4" w:space="4" w:color="auto"/>
          <w:bottom w:val="single" w:sz="4" w:space="1" w:color="auto"/>
          <w:right w:val="single" w:sz="4" w:space="4" w:color="auto"/>
        </w:pBdr>
        <w:spacing w:line="360" w:lineRule="exact"/>
        <w:rPr>
          <w:sz w:val="24"/>
        </w:rPr>
      </w:pPr>
    </w:p>
    <w:p w14:paraId="4EB311B8" w14:textId="77777777" w:rsidR="00B54931" w:rsidRDefault="00B54931" w:rsidP="00B5493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260B4105" w14:textId="77777777" w:rsidR="0048623A" w:rsidRDefault="0048623A" w:rsidP="00B54931">
      <w:pPr>
        <w:widowControl/>
        <w:pBdr>
          <w:top w:val="single" w:sz="4" w:space="1" w:color="auto"/>
          <w:left w:val="single" w:sz="4" w:space="4" w:color="auto"/>
          <w:bottom w:val="single" w:sz="4" w:space="1" w:color="auto"/>
          <w:right w:val="single" w:sz="4" w:space="4" w:color="auto"/>
        </w:pBdr>
        <w:spacing w:line="360" w:lineRule="exact"/>
        <w:rPr>
          <w:sz w:val="24"/>
        </w:rPr>
      </w:pPr>
    </w:p>
    <w:p w14:paraId="27C12C34" w14:textId="77777777" w:rsidR="00B54931" w:rsidRDefault="00B54931" w:rsidP="00B5493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6A4181EC" w14:textId="6E221C11" w:rsidR="0048623A" w:rsidRDefault="00B54931" w:rsidP="00B54931">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712EA41E" w14:textId="392223CF" w:rsidR="00710C8B" w:rsidRPr="00A15B43" w:rsidRDefault="00B54931" w:rsidP="00B54931">
      <w:pPr>
        <w:widowControl/>
        <w:pBdr>
          <w:top w:val="single" w:sz="4" w:space="1" w:color="auto"/>
          <w:left w:val="single" w:sz="4" w:space="4" w:color="auto"/>
          <w:bottom w:val="single" w:sz="4" w:space="1" w:color="auto"/>
          <w:right w:val="single" w:sz="4" w:space="4" w:color="auto"/>
        </w:pBdr>
        <w:spacing w:line="360" w:lineRule="exact"/>
        <w:rPr>
          <w:sz w:val="24"/>
        </w:rPr>
      </w:pPr>
      <w:bookmarkStart w:id="0" w:name="_GoBack"/>
      <w:bookmarkEnd w:id="0"/>
      <w:r>
        <w:rPr>
          <w:rFonts w:hint="eastAsia"/>
          <w:sz w:val="24"/>
        </w:rPr>
        <w:t>（イ）ＮＥＤＯが国外企業等と共有するフォアグラウンドＩＰに係る出願費用等は、国外企業等が負担すること</w:t>
      </w:r>
    </w:p>
    <w:p w14:paraId="255B125A" w14:textId="6E189CDC" w:rsidR="00710C8B" w:rsidRPr="00CD6DEE"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31DBDF7D" w14:textId="7C049D4D"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5B197B4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7B9A32F8"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65A2436F" w14:textId="2CA636C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D01F688" w14:textId="4AD44835"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6F5B86E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2552973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6C810B3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2D979006"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A7D109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AF36075"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05C820EE"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9A3F55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520720B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767F8CE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64CA9F9"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6217047"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1BDD1DD3"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CCDECD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5302B423" w14:textId="1242481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52175E1A" w14:textId="6581E150" w:rsidR="0048623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3D7DBC87" w14:textId="77777777" w:rsidR="0048623A" w:rsidRDefault="0048623A"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07506BA"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748FBC79" w14:textId="694FEB62"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493E62EB" w14:textId="741E27C8"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7965C009" w14:textId="58F85F87" w:rsidR="00710C8B" w:rsidRPr="00A817D0"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p>
    <w:p w14:paraId="4F852456"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41CFD5E0"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5D4CDC06"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68A1B05D" w14:textId="77777777" w:rsidR="00710C8B" w:rsidRDefault="00710C8B" w:rsidP="001027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1DF7C5FD" w14:textId="77777777" w:rsidR="00710C8B" w:rsidRDefault="00710C8B" w:rsidP="001027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45734B75" w14:textId="77777777" w:rsidR="00710C8B" w:rsidRPr="006328BD"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7322AB75"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14188D2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0CED0A49"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7CB04D8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129C6C4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5F18C20"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6E9955EE" w14:textId="4CE1377E"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F36A9B2" w14:textId="77777777" w:rsidR="0048623A"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sidR="00B54931">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w:t>
      </w:r>
    </w:p>
    <w:p w14:paraId="69B6698B" w14:textId="77777777" w:rsidR="0048623A" w:rsidRDefault="0048623A"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B826F0B" w14:textId="2F18E92F"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の取扱い）</w:t>
      </w:r>
      <w:r w:rsidRPr="001B497B">
        <w:rPr>
          <w:rFonts w:hint="eastAsia"/>
          <w:sz w:val="24"/>
        </w:rPr>
        <w:t>については、プロジェクト参加者間の合意に基づき必要な範囲で明確化するものとする。</w:t>
      </w:r>
    </w:p>
    <w:p w14:paraId="25EABBE9" w14:textId="29E2D21F"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93794FD" w14:textId="449F4EA9"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245B825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65A4ABBB" w14:textId="39A9C59C"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95D1A7E" w14:textId="348331B8"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3CE53C1" w14:textId="77777777"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D6FCFE2" w14:textId="7A8EFF66"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6586D07D" w14:textId="3BD3DAD6" w:rsidR="00710C8B" w:rsidRPr="001B497B" w:rsidRDefault="00710C8B" w:rsidP="00A52900">
      <w:pPr>
        <w:widowControl/>
        <w:pBdr>
          <w:top w:val="single" w:sz="4" w:space="1" w:color="auto"/>
          <w:left w:val="single" w:sz="4" w:space="4" w:color="auto"/>
          <w:bottom w:val="single" w:sz="4" w:space="1" w:color="auto"/>
          <w:right w:val="single" w:sz="4" w:space="4" w:color="auto"/>
        </w:pBdr>
        <w:spacing w:line="360" w:lineRule="exact"/>
        <w:rPr>
          <w:sz w:val="24"/>
        </w:rPr>
      </w:pPr>
    </w:p>
    <w:p w14:paraId="7FF93EDF"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17EDEDB2"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1DC482BC"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6D81B33" w14:textId="77777777" w:rsidR="00710C8B" w:rsidRPr="002F5BC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7B983024"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187BD343"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61646051"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62CFFF5B" w14:textId="77777777" w:rsidR="00710C8B" w:rsidRPr="001B497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60843088"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4A46AF84"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14C83A31"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606D181B"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5442A763"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1C1C6A2B" w14:textId="77777777"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p>
    <w:p w14:paraId="0921A800" w14:textId="54583D23" w:rsidR="00710C8B" w:rsidRDefault="00710C8B"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1E70FB8C" w14:textId="6F6EF430" w:rsidR="0048623A" w:rsidRDefault="00710C8B" w:rsidP="0048623A">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w:t>
      </w:r>
      <w:r w:rsidR="00891A26">
        <w:rPr>
          <w:rFonts w:hint="eastAsia"/>
          <w:sz w:val="24"/>
        </w:rPr>
        <w:t>２０</w:t>
      </w:r>
      <w:r w:rsidR="00B54931">
        <w:rPr>
          <w:rFonts w:hint="eastAsia"/>
          <w:sz w:val="24"/>
        </w:rPr>
        <w:t>２０</w:t>
      </w:r>
      <w:r>
        <w:rPr>
          <w:rFonts w:hint="eastAsia"/>
          <w:sz w:val="24"/>
        </w:rPr>
        <w:t>年</w:t>
      </w:r>
      <w:r w:rsidR="00B54931">
        <w:rPr>
          <w:rFonts w:hint="eastAsia"/>
          <w:sz w:val="24"/>
        </w:rPr>
        <w:t>４</w:t>
      </w:r>
      <w:r>
        <w:rPr>
          <w:rFonts w:hint="eastAsia"/>
          <w:sz w:val="24"/>
        </w:rPr>
        <w:t>月１日から適用する。</w:t>
      </w:r>
    </w:p>
    <w:p w14:paraId="7ABBE6D5" w14:textId="77777777" w:rsidR="0048623A" w:rsidRDefault="0048623A" w:rsidP="0048623A">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21AF610" w14:textId="77777777" w:rsidR="0048623A" w:rsidRDefault="0048623A" w:rsidP="0048623A">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F5E7843" w14:textId="77777777" w:rsidR="0048623A" w:rsidRDefault="0048623A" w:rsidP="0048623A">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463881E0" w14:textId="77777777" w:rsidR="0048623A" w:rsidRDefault="0048623A" w:rsidP="0048623A">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6C22FBBE" w14:textId="00E02275"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w:t>
      </w:r>
      <w:r w:rsidR="00710C8B">
        <w:rPr>
          <w:rFonts w:hint="eastAsia"/>
          <w:sz w:val="24"/>
        </w:rPr>
        <w:t>年　６月　第３版</w:t>
      </w:r>
    </w:p>
    <w:p w14:paraId="15208BE8" w14:textId="319691B6" w:rsidR="00710C8B" w:rsidRDefault="00891A26" w:rsidP="00710C8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w:t>
      </w:r>
      <w:r w:rsidR="00710C8B">
        <w:rPr>
          <w:rFonts w:hint="eastAsia"/>
          <w:sz w:val="24"/>
        </w:rPr>
        <w:t>年　９月　第４版</w:t>
      </w:r>
    </w:p>
    <w:p w14:paraId="1CA3FBB4" w14:textId="13DE38AA" w:rsidR="00710C8B" w:rsidRDefault="00B54931"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sectPr w:rsidR="00710C8B"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70029" w:rsidRDefault="00270029">
      <w:r>
        <w:separator/>
      </w:r>
    </w:p>
  </w:endnote>
  <w:endnote w:type="continuationSeparator" w:id="0">
    <w:p w14:paraId="421EFC4C" w14:textId="77777777" w:rsidR="00270029" w:rsidRDefault="002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70029" w:rsidRDefault="002700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70029" w:rsidRDefault="002700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0933" w14:textId="77777777" w:rsidR="00CE0A8F" w:rsidRDefault="00CE0A8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B797" w14:textId="77777777" w:rsidR="00CE0A8F" w:rsidRDefault="00CE0A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70029" w:rsidRDefault="00270029">
      <w:r>
        <w:separator/>
      </w:r>
    </w:p>
  </w:footnote>
  <w:footnote w:type="continuationSeparator" w:id="0">
    <w:p w14:paraId="0F399BC8" w14:textId="77777777" w:rsidR="00270029" w:rsidRDefault="0027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7ECA" w14:textId="77777777" w:rsidR="00CE0A8F" w:rsidRDefault="00CE0A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705A" w14:textId="77777777" w:rsidR="00CE0A8F" w:rsidRDefault="00CE0A8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D7B6" w14:textId="77777777" w:rsidR="00CE0A8F" w:rsidRDefault="00CE0A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9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1986"/>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8623A"/>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864"/>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05B"/>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14F"/>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5FD6"/>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7C8"/>
    <w:rsid w:val="00CD2DBB"/>
    <w:rsid w:val="00CD3809"/>
    <w:rsid w:val="00CD695A"/>
    <w:rsid w:val="00CD6DEE"/>
    <w:rsid w:val="00CD701A"/>
    <w:rsid w:val="00CD715B"/>
    <w:rsid w:val="00CE0A8F"/>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BE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34B"/>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9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3DD7-564C-4A2B-97E7-9017AEB1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5156</Words>
  <Characters>312</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2020-05-26T09:43:00Z</dcterms:created>
  <dcterms:modified xsi:type="dcterms:W3CDTF">2020-05-26T10:18:00Z</dcterms:modified>
</cp:coreProperties>
</file>