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5C8DACD5" w:rsidR="005C1881"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5CA57769" w:rsidR="00BA3DA0" w:rsidRDefault="00C211AF" w:rsidP="00A21A90">
      <w:pPr>
        <w:ind w:firstLineChars="200" w:firstLine="428"/>
        <w:rPr>
          <w:rFonts w:asciiTheme="minorEastAsia" w:eastAsiaTheme="minorEastAsia" w:hAnsiTheme="minorEastAsia" w:cs="Arial"/>
          <w:color w:val="FF0000"/>
        </w:rPr>
      </w:pPr>
      <w:hyperlink r:id="rId7" w:history="1">
        <w:r w:rsidR="00B07CCD" w:rsidRPr="00964C12">
          <w:rPr>
            <w:rStyle w:val="ac"/>
            <w:rFonts w:asciiTheme="minorEastAsia" w:eastAsiaTheme="minorEastAsia" w:hAnsiTheme="minorEastAsia" w:cs="Arial"/>
          </w:rPr>
          <w:t>https://app23.infoc.nedo.go.jp/koubo/qa/enquetes/nfrgv8v4ex4o</w:t>
        </w:r>
      </w:hyperlink>
    </w:p>
    <w:p w14:paraId="6A205630" w14:textId="77777777" w:rsidR="00B07CCD" w:rsidRPr="00B07CCD" w:rsidRDefault="00B07CCD"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C211AF"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7B4E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w:lastRenderedPageBreak/>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A3B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1"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F3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U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Ne2F3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C211AF"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93E3"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C211AF"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b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GQ5HW8ufQW1vxxmCmYdNZ/03jHqYH4LD1x31AiP1xkDHLK6K&#10;FUgak7FcrmD4/PRiO7mghgEQwRGjcbuJ44junJdtB3HyVAxjb6HHGhlPzThyOrKHCYHdTyM4tZPX&#10;j3/O+js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UjUN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826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3DB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lastRenderedPageBreak/>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116"/>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1E2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1E70"/>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07CCD"/>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1AF"/>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nfrgv8v4ex4o"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7759</Words>
  <Characters>1916</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2022-06-09T02:15:00Z</dcterms:created>
  <dcterms:modified xsi:type="dcterms:W3CDTF">2022-06-16T05:26:00Z</dcterms:modified>
</cp:coreProperties>
</file>