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3437D" w14:textId="784DF4EF" w:rsidR="00FC3C77" w:rsidRDefault="00FC3C77" w:rsidP="00FC3C77">
      <w:pPr>
        <w:jc w:val="left"/>
      </w:pPr>
      <w:r>
        <w:rPr>
          <w:rFonts w:hint="eastAsia"/>
        </w:rPr>
        <w:t>（参考資料</w:t>
      </w:r>
      <w:r w:rsidR="00D96AB7">
        <w:rPr>
          <w:rFonts w:hint="eastAsia"/>
        </w:rPr>
        <w:t>１</w:t>
      </w:r>
      <w:r>
        <w:rPr>
          <w:rFonts w:hint="eastAsia"/>
        </w:rPr>
        <w:t>）</w:t>
      </w:r>
    </w:p>
    <w:p w14:paraId="2720D3C0" w14:textId="77777777" w:rsidR="00FC3C77" w:rsidRDefault="00FC3C77" w:rsidP="00FC3C77">
      <w:pPr>
        <w:jc w:val="left"/>
      </w:pPr>
    </w:p>
    <w:p w14:paraId="31682F36" w14:textId="77777777"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14:paraId="04E808E2" w14:textId="77777777"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14:paraId="54A9668B" w14:textId="77777777" w:rsidR="00FC3C77" w:rsidRDefault="00FC3C77" w:rsidP="00FC3C77">
      <w:pPr>
        <w:autoSpaceDE w:val="0"/>
        <w:autoSpaceDN w:val="0"/>
        <w:adjustRightInd w:val="0"/>
        <w:spacing w:line="360" w:lineRule="exact"/>
        <w:rPr>
          <w:rFonts w:ascii="ＭＳ ゴシック" w:hAnsi="Century" w:cs="ＭＳ ゴシック"/>
          <w:kern w:val="0"/>
          <w:sz w:val="24"/>
        </w:rPr>
      </w:pPr>
    </w:p>
    <w:p w14:paraId="01CFD54A"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D3635DA" w14:textId="6FB9F1E5"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w:t>
      </w:r>
      <w:r w:rsidR="00AB4F0E">
        <w:rPr>
          <w:rFonts w:ascii="ＭＳ ゴシック" w:hAnsi="Century" w:cs="ＭＳ ゴシック" w:hint="eastAsia"/>
          <w:kern w:val="0"/>
          <w:sz w:val="24"/>
        </w:rPr>
        <w:t>（添付資料）</w:t>
      </w:r>
      <w:r>
        <w:rPr>
          <w:rFonts w:ascii="ＭＳ ゴシック" w:hAnsi="Century" w:cs="ＭＳ ゴシック" w:hint="eastAsia"/>
          <w:kern w:val="0"/>
          <w:sz w:val="24"/>
        </w:rPr>
        <w:t>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っては、経済産業省の「委託研究開発における知的財産マネジメントに関する運用ガイドライン」も併せて御参照ください。</w:t>
      </w:r>
    </w:p>
    <w:p w14:paraId="43BCA7FE" w14:textId="77777777"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14:paraId="378583CE" w14:textId="77777777"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14:paraId="181E4916" w14:textId="3BB31700"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009103D2" w:rsidRPr="009103D2">
        <w:rPr>
          <w:rFonts w:ascii="ＭＳ 明朝" w:hAnsi="ＭＳ 明朝" w:cs="ＭＳ明朝" w:hint="eastAsia"/>
          <w:kern w:val="0"/>
          <w:sz w:val="24"/>
        </w:rPr>
        <w:t>新産業・革新技術創出に向けた先導研究プログラム</w:t>
      </w:r>
      <w:r>
        <w:rPr>
          <w:rFonts w:ascii="ＭＳ 明朝" w:hAnsi="ＭＳ 明朝" w:cs="ＭＳ明朝" w:hint="eastAsia"/>
          <w:kern w:val="0"/>
          <w:sz w:val="24"/>
        </w:rPr>
        <w:t>）／（研究開発テーマ名を記載）</w:t>
      </w:r>
    </w:p>
    <w:p w14:paraId="5CE67CE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14:paraId="11526E55" w14:textId="77777777"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225F602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14:paraId="3FF7ED77" w14:textId="2BC17620"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009103D2" w:rsidRPr="009103D2">
        <w:rPr>
          <w:rFonts w:ascii="ＭＳ 明朝" w:hAnsi="ＭＳ 明朝" w:cs="ＭＳ明朝" w:hint="eastAsia"/>
          <w:kern w:val="0"/>
          <w:sz w:val="24"/>
        </w:rPr>
        <w:t>新産業・革新技術創出に向けた先導研究プログラム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14:paraId="255DC466"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1944528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14:paraId="6D1FA85D"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14:paraId="728ADA0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14:paraId="53DAAA6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14:paraId="06C7773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14:paraId="2D34B43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14:paraId="59F1C5BE"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14:paraId="2B3BF33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14:paraId="35EEAC7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14:paraId="205A69F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14:paraId="47A0907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14:paraId="75D3B7C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14:paraId="563DC86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w:t>
      </w:r>
      <w:r w:rsidRPr="00CF7AE9">
        <w:rPr>
          <w:rFonts w:ascii="Century" w:hAnsi="Century" w:cs="ＭＳ 明朝" w:hint="eastAsia"/>
          <w:sz w:val="24"/>
        </w:rPr>
        <w:lastRenderedPageBreak/>
        <w:t>位及び外国における上記各権利及び地位に相当する権利及び地位（以下「産業財産権」と総称する。）</w:t>
      </w:r>
    </w:p>
    <w:p w14:paraId="1B3EB892"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14:paraId="503B6AA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14:paraId="1276F8DC" w14:textId="4B81E36A"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w:t>
      </w:r>
      <w:r w:rsidR="00F065C4">
        <w:rPr>
          <w:rFonts w:ascii="Century" w:hAnsi="Century" w:cs="ＭＳ 明朝" w:hint="eastAsia"/>
          <w:sz w:val="24"/>
        </w:rPr>
        <w:t>２</w:t>
      </w:r>
      <w:r w:rsidRPr="00CF7AE9">
        <w:rPr>
          <w:rFonts w:ascii="Century" w:hAnsi="Century" w:cs="ＭＳ 明朝" w:hint="eastAsia"/>
          <w:sz w:val="24"/>
        </w:rPr>
        <w:t>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7935DD3F" w14:textId="142CF98C"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w:t>
      </w:r>
      <w:r w:rsidR="005E7FF0" w:rsidRPr="005E7FF0">
        <w:rPr>
          <w:rFonts w:ascii="ＭＳ 明朝" w:hAnsi="ＭＳ 明朝" w:hint="eastAsia"/>
          <w:sz w:val="24"/>
        </w:rPr>
        <w:t>、研究開発の直接の受託者のほか、当該受託者からの研究開発の一部の再委託先及び共同研究先をいい、具体的には</w:t>
      </w:r>
      <w:r w:rsidRPr="00CF7AE9">
        <w:rPr>
          <w:rFonts w:ascii="ＭＳ 明朝" w:hAnsi="ＭＳ 明朝" w:hint="eastAsia"/>
          <w:sz w:val="24"/>
        </w:rPr>
        <w:t>、本プロジェクトを実施する別紙１に記載された者をいう。</w:t>
      </w:r>
    </w:p>
    <w:p w14:paraId="2275A51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14:paraId="164BFA51" w14:textId="77777777"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7BCEB26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14:paraId="439F872A"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14:paraId="5A113D6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14:paraId="626EA9B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14:paraId="4A72660A" w14:textId="312CEE78" w:rsidR="00FC3C77" w:rsidRDefault="005E7FF0"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5E7FF0">
        <w:rPr>
          <w:rFonts w:ascii="ＭＳ 明朝" w:hAnsi="ＭＳ 明朝" w:hint="eastAsia"/>
          <w:sz w:val="24"/>
        </w:rPr>
        <w:t>４　知財運営委員会は、本プロジェクトにおける知的財産の取扱いとして、本プロジェクトとしての発明等の成果の権利化、秘匿化、公表等の取扱い方針（以下「取扱い方針」という。）を定める。</w:t>
      </w:r>
    </w:p>
    <w:p w14:paraId="23C530FC" w14:textId="77777777" w:rsidR="005E7FF0" w:rsidRPr="00CF7AE9" w:rsidRDefault="005E7FF0"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14:paraId="21C1782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14:paraId="162C61C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14:paraId="3FB05D7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14:paraId="6BFFA62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14:paraId="499712C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14:paraId="43B7E44F"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14:paraId="00BE9540" w14:textId="50FE31D9"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w:t>
      </w:r>
      <w:r w:rsidR="00F065C4">
        <w:rPr>
          <w:rFonts w:ascii="ＭＳ 明朝" w:hAnsi="ＭＳ 明朝" w:hint="eastAsia"/>
          <w:sz w:val="24"/>
        </w:rPr>
        <w:t>また</w:t>
      </w:r>
      <w:r w:rsidRPr="003F4BC8">
        <w:rPr>
          <w:rFonts w:ascii="ＭＳ 明朝" w:hAnsi="ＭＳ 明朝" w:hint="eastAsia"/>
          <w:sz w:val="24"/>
        </w:rPr>
        <w:t>は創</w:t>
      </w:r>
      <w:r w:rsidRPr="00CF7AE9">
        <w:rPr>
          <w:rFonts w:ascii="ＭＳ 明朝" w:hAnsi="ＭＳ 明朝" w:hint="eastAsia"/>
          <w:sz w:val="24"/>
        </w:rPr>
        <w:t>出したもの</w:t>
      </w:r>
    </w:p>
    <w:p w14:paraId="2A7076F7"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lastRenderedPageBreak/>
        <w:t>２　プロジェクト参加者は、自己に属する研究開発従事者が、研究開発従事者でなくなった後も含め、本条及び次条に規定する義務と同様の義務を、当該研究開発従事者に遵守させなければならない。</w:t>
      </w:r>
    </w:p>
    <w:p w14:paraId="3790BCD8" w14:textId="42CB319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w:t>
      </w:r>
      <w:r w:rsidR="00F065C4">
        <w:rPr>
          <w:rFonts w:ascii="ＭＳ 明朝" w:hAnsi="ＭＳ 明朝" w:hint="eastAsia"/>
          <w:sz w:val="24"/>
        </w:rPr>
        <w:t>二</w:t>
      </w:r>
      <w:r w:rsidRPr="00CF7AE9">
        <w:rPr>
          <w:rFonts w:ascii="ＭＳ 明朝" w:hAnsi="ＭＳ 明朝" w:hint="eastAsia"/>
          <w:sz w:val="24"/>
        </w:rPr>
        <w:t>項に定めるもののほか、本プロジェクトにおける秘密漏洩防止及び技術情報流出防止のために必要な措置については、知財運営委員会において決定するものとする。</w:t>
      </w:r>
    </w:p>
    <w:p w14:paraId="46A98B0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146E0D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14:paraId="472C370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14:paraId="0648C851"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31396FB1" w14:textId="083A4CF1"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w:t>
      </w:r>
      <w:r w:rsidRPr="00CF7AE9">
        <w:rPr>
          <w:rFonts w:ascii="ＭＳ 明朝" w:hAnsi="ＭＳ 明朝" w:hint="eastAsia"/>
          <w:sz w:val="24"/>
        </w:rPr>
        <w:t>）</w:t>
      </w:r>
    </w:p>
    <w:p w14:paraId="037EAFD9"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14:paraId="2E2CC371" w14:textId="719435FA"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w:t>
      </w:r>
      <w:r w:rsidR="005E7FF0" w:rsidRPr="005E7FF0">
        <w:rPr>
          <w:rFonts w:ascii="ＭＳ 明朝" w:hAnsi="ＭＳ 明朝" w:hint="eastAsia"/>
          <w:sz w:val="24"/>
        </w:rPr>
        <w:t>及び取扱い方針</w:t>
      </w:r>
      <w:r w:rsidRPr="00CF7AE9">
        <w:rPr>
          <w:rFonts w:ascii="ＭＳ 明朝" w:hAnsi="ＭＳ 明朝" w:hint="eastAsia"/>
          <w:sz w:val="24"/>
        </w:rPr>
        <w:t>に基づき、当該発明等の成果について、出願</w:t>
      </w:r>
      <w:r w:rsidR="005E7FF0">
        <w:rPr>
          <w:rFonts w:ascii="ＭＳ 明朝" w:hAnsi="ＭＳ 明朝" w:hint="eastAsia"/>
          <w:sz w:val="24"/>
        </w:rPr>
        <w:t>による</w:t>
      </w:r>
      <w:r w:rsidRPr="00CF7AE9">
        <w:rPr>
          <w:rFonts w:ascii="ＭＳ 明朝" w:hAnsi="ＭＳ 明朝" w:hint="eastAsia"/>
          <w:sz w:val="24"/>
        </w:rPr>
        <w:t>権利化</w:t>
      </w:r>
      <w:r w:rsidR="005E7FF0" w:rsidRPr="005E7FF0">
        <w:rPr>
          <w:rFonts w:ascii="ＭＳ 明朝" w:hAnsi="ＭＳ 明朝" w:hint="eastAsia"/>
          <w:sz w:val="24"/>
        </w:rPr>
        <w:t>、秘匿化、論文等による公表の要否を審議し、その取扱いを決定する。</w:t>
      </w:r>
      <w:r w:rsidRPr="00CF7AE9">
        <w:rPr>
          <w:rFonts w:ascii="ＭＳ 明朝" w:hAnsi="ＭＳ 明朝" w:hint="eastAsia"/>
          <w:sz w:val="24"/>
        </w:rPr>
        <w:t>出願により権利化する場合にあっては出願対象国、秘匿する場合にあっては秘匿期間等について</w:t>
      </w:r>
      <w:r w:rsidR="005E7FF0">
        <w:rPr>
          <w:rFonts w:ascii="ＭＳ 明朝" w:hAnsi="ＭＳ 明朝" w:hint="eastAsia"/>
          <w:sz w:val="24"/>
        </w:rPr>
        <w:t>も</w:t>
      </w:r>
      <w:r w:rsidRPr="00CF7AE9">
        <w:rPr>
          <w:rFonts w:ascii="ＭＳ 明朝" w:hAnsi="ＭＳ 明朝" w:hint="eastAsia"/>
          <w:sz w:val="24"/>
        </w:rPr>
        <w:t>審議し、決定する。</w:t>
      </w:r>
    </w:p>
    <w:p w14:paraId="065294F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2929126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14:paraId="27B306D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14:paraId="1A1ABD7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14:paraId="0EE2BFF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14:paraId="2BEB42B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B6C4EF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14:paraId="051E0857" w14:textId="0B193298"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w:t>
      </w:r>
      <w:r w:rsidR="00F065C4" w:rsidRPr="00F065C4">
        <w:rPr>
          <w:rFonts w:ascii="ＭＳ 明朝" w:hAnsi="ＭＳ 明朝" w:hint="eastAsia"/>
          <w:sz w:val="24"/>
        </w:rPr>
        <w:t>又は帰属</w:t>
      </w:r>
      <w:r w:rsidRPr="00CF7AE9">
        <w:rPr>
          <w:rFonts w:ascii="ＭＳ 明朝" w:hAnsi="ＭＳ 明朝" w:hint="eastAsia"/>
          <w:sz w:val="24"/>
        </w:rPr>
        <w:t>させるものとする。</w:t>
      </w:r>
    </w:p>
    <w:p w14:paraId="6C32A47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14:paraId="6DDCE955"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4EF05C63"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14:paraId="76151B3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14:paraId="22C1808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746D28A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14:paraId="1ABCF4BF"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lastRenderedPageBreak/>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だし、プロジェクト参加者間で有償により実施許諾すること等の別段の取決めがある場合はこの限りでない。</w:t>
      </w:r>
    </w:p>
    <w:p w14:paraId="5E05FCDB"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14:paraId="26C2439D" w14:textId="77777777"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14:paraId="05A8A0A6" w14:textId="77777777"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14:paraId="3127C624" w14:textId="77777777"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　エネルギー・環境新技術先導プログラム（又は新産業創出新技術先導研究プログラム）</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14:paraId="5DE911A4"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5156B41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14:paraId="0648C030"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14:paraId="3001AA62"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14:paraId="4AF24D3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14:paraId="4C89FC9E"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14:paraId="64AD22F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612381AC"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14:paraId="2A328DC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14:paraId="70770E5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14:paraId="226F39FD"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14:paraId="201072E8"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14:paraId="3214F983"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14:paraId="69B4D826"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9D52788"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14:paraId="615A84AA"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14:paraId="68A05C0D" w14:textId="77777777"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14:paraId="6AF846F2" w14:textId="77777777"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14:paraId="51C6A527" w14:textId="19FC5900"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lastRenderedPageBreak/>
        <w:t>本合意書が有効であることの証として本書○○通を作成し、本プロジェクトの当事者である</w:t>
      </w:r>
      <w:r w:rsidR="00C9447C" w:rsidRPr="00C9447C">
        <w:rPr>
          <w:rFonts w:ascii="ＭＳ 明朝" w:hAnsi="ＭＳ 明朝" w:cs="ＭＳ明朝" w:hint="eastAsia"/>
          <w:kern w:val="0"/>
          <w:sz w:val="24"/>
        </w:rPr>
        <w:t>プロジェクト参加者</w:t>
      </w:r>
      <w:r w:rsidRPr="00CF7AE9">
        <w:rPr>
          <w:rFonts w:ascii="ＭＳ 明朝" w:hAnsi="ＭＳ 明朝" w:cs="ＭＳ明朝" w:hint="eastAsia"/>
          <w:kern w:val="0"/>
          <w:sz w:val="24"/>
        </w:rPr>
        <w:t>がそれぞれ</w:t>
      </w:r>
      <w:r w:rsidR="00F065C4" w:rsidRPr="00F065C4">
        <w:rPr>
          <w:rFonts w:ascii="ＭＳ 明朝" w:hAnsi="ＭＳ 明朝" w:cs="ＭＳ明朝" w:hint="eastAsia"/>
          <w:kern w:val="0"/>
          <w:sz w:val="24"/>
        </w:rPr>
        <w:t>署名（又は記名押印）</w:t>
      </w:r>
      <w:r w:rsidRPr="00CF7AE9">
        <w:rPr>
          <w:rFonts w:ascii="ＭＳ 明朝" w:hAnsi="ＭＳ 明朝" w:cs="ＭＳ明朝" w:hint="eastAsia"/>
          <w:kern w:val="0"/>
          <w:sz w:val="24"/>
        </w:rPr>
        <w:t>の上１通を保有する。</w:t>
      </w:r>
    </w:p>
    <w:p w14:paraId="4CBAB118"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14:paraId="3128BD16" w14:textId="77777777"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14:paraId="02EAC6E5"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03DCE0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4BA75AB4"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6E4F8F42" w14:textId="00EF17FD"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w:t>
      </w:r>
    </w:p>
    <w:p w14:paraId="7D37CCC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14:paraId="60B7435B"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14:paraId="719FF743"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14:paraId="20DDB330" w14:textId="6F780738"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w:t>
      </w:r>
    </w:p>
    <w:p w14:paraId="742FF700"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6F23AE89"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46EBC191"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D6DC4FF" w14:textId="77777777"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14:paraId="572B4500" w14:textId="77777777" w:rsidR="00FC3C77" w:rsidRPr="00CF7AE9" w:rsidRDefault="00FC3C77" w:rsidP="00FC3C77">
      <w:pPr>
        <w:widowControl/>
        <w:jc w:val="left"/>
        <w:rPr>
          <w:rFonts w:ascii="ＭＳ 明朝" w:hAnsi="ＭＳ 明朝"/>
          <w:sz w:val="22"/>
        </w:rPr>
      </w:pPr>
    </w:p>
    <w:p w14:paraId="3202ED17" w14:textId="77777777" w:rsidR="00FC3C77" w:rsidRPr="00791ADD" w:rsidRDefault="00FC3C77" w:rsidP="00FC3C77">
      <w:pPr>
        <w:jc w:val="left"/>
      </w:pPr>
    </w:p>
    <w:p w14:paraId="354E47E6" w14:textId="77777777" w:rsidR="00FC3C77" w:rsidRPr="00A174A9" w:rsidRDefault="00FC3C77" w:rsidP="00FC3C77">
      <w:pPr>
        <w:jc w:val="left"/>
      </w:pPr>
    </w:p>
    <w:p w14:paraId="17291368" w14:textId="77777777" w:rsidR="004073C1" w:rsidRPr="00FC3C77" w:rsidRDefault="004073C1"/>
    <w:sectPr w:rsidR="004073C1" w:rsidRPr="00FC3C77" w:rsidSect="0036332B">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0DD1" w14:textId="77777777" w:rsidR="009C42FE" w:rsidRDefault="007D27E0">
      <w:r>
        <w:separator/>
      </w:r>
    </w:p>
  </w:endnote>
  <w:endnote w:type="continuationSeparator" w:id="0">
    <w:p w14:paraId="0E8007D0" w14:textId="77777777" w:rsidR="009C42FE"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2FE2" w14:textId="77777777" w:rsidR="009C42FE" w:rsidRDefault="007D27E0">
      <w:r>
        <w:separator/>
      </w:r>
    </w:p>
  </w:footnote>
  <w:footnote w:type="continuationSeparator" w:id="0">
    <w:p w14:paraId="7FA3193D" w14:textId="77777777" w:rsidR="009C42FE" w:rsidRDefault="007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2C22CA"/>
    <w:rsid w:val="004073C1"/>
    <w:rsid w:val="00444F1E"/>
    <w:rsid w:val="00472380"/>
    <w:rsid w:val="004A22DA"/>
    <w:rsid w:val="005817B9"/>
    <w:rsid w:val="005E7FF0"/>
    <w:rsid w:val="007D27E0"/>
    <w:rsid w:val="009103D2"/>
    <w:rsid w:val="009C42FE"/>
    <w:rsid w:val="00AB4F0E"/>
    <w:rsid w:val="00C9447C"/>
    <w:rsid w:val="00D96AB7"/>
    <w:rsid w:val="00F065C4"/>
    <w:rsid w:val="00F7031D"/>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7A27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2C22CA"/>
    <w:pPr>
      <w:tabs>
        <w:tab w:val="center" w:pos="4252"/>
        <w:tab w:val="right" w:pos="8504"/>
      </w:tabs>
      <w:snapToGrid w:val="0"/>
    </w:pPr>
  </w:style>
  <w:style w:type="character" w:customStyle="1" w:styleId="a7">
    <w:name w:val="ヘッダー (文字)"/>
    <w:basedOn w:val="a0"/>
    <w:link w:val="a6"/>
    <w:uiPriority w:val="99"/>
    <w:rsid w:val="002C22CA"/>
    <w:rPr>
      <w:rFonts w:ascii="TmsRmn" w:eastAsia="ＭＳ 明朝" w:hAnsi="TmsRmn" w:cs="Times New Roman"/>
      <w:szCs w:val="24"/>
    </w:rPr>
  </w:style>
  <w:style w:type="paragraph" w:styleId="a8">
    <w:name w:val="Revision"/>
    <w:hidden/>
    <w:uiPriority w:val="99"/>
    <w:semiHidden/>
    <w:rsid w:val="004A22DA"/>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5</Pages>
  <Words>715</Words>
  <Characters>4080</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4786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