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A8A" w14:textId="77777777" w:rsidR="00383222" w:rsidRPr="0065211D" w:rsidRDefault="00383222" w:rsidP="00037AF1">
      <w:pPr>
        <w:jc w:val="center"/>
        <w:rPr>
          <w:rFonts w:hAnsi="ＭＳ 明朝"/>
          <w:color w:val="0000FF"/>
          <w:sz w:val="28"/>
          <w:szCs w:val="28"/>
        </w:rPr>
      </w:pPr>
    </w:p>
    <w:p w14:paraId="7BE1ABC1" w14:textId="4EBAFAA6"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705B99">
        <w:rPr>
          <w:rFonts w:hAnsi="ＭＳ 明朝" w:hint="eastAsia"/>
        </w:rPr>
        <w:t>１</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73788B9A" w14:textId="77777777" w:rsidR="00F90935" w:rsidRPr="00432E33" w:rsidRDefault="00F90935" w:rsidP="00F90935">
      <w:pPr>
        <w:widowControl/>
        <w:jc w:val="left"/>
        <w:rPr>
          <w:rFonts w:asciiTheme="minorEastAsia" w:eastAsiaTheme="minorEastAsia" w:hAnsiTheme="minorEastAsia"/>
          <w:snapToGrid w:val="0"/>
        </w:rPr>
      </w:pP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601C6C"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601C6C"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CFC99D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601C6C"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601C6C"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lastRenderedPageBreak/>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Pr="00432E33" w:rsidRDefault="00487091" w:rsidP="00132499">
      <w:pPr>
        <w:jc w:val="left"/>
        <w:rPr>
          <w:rFonts w:asciiTheme="minorEastAsia" w:eastAsiaTheme="minorEastAsia" w:hAnsiTheme="minorEastAsia"/>
          <w:color w:val="000000" w:themeColor="text1"/>
        </w:rPr>
      </w:pPr>
    </w:p>
    <w:p w14:paraId="42F92297" w14:textId="12E57D90" w:rsidR="00487091" w:rsidRPr="007C0898" w:rsidRDefault="00F90935" w:rsidP="00341184">
      <w:pPr>
        <w:pStyle w:val="1"/>
        <w:jc w:val="right"/>
        <w:rPr>
          <w:snapToGrid w:val="0"/>
        </w:rPr>
      </w:pPr>
      <w:r w:rsidRPr="007C0898">
        <w:rPr>
          <w:rFonts w:hAnsi="ＭＳ 明朝" w:hint="eastAsia"/>
        </w:rPr>
        <w:t>【追加資料</w:t>
      </w:r>
      <w:r w:rsidR="00B94D1A">
        <w:rPr>
          <w:rFonts w:hAnsi="ＭＳ 明朝" w:hint="eastAsia"/>
        </w:rPr>
        <w:t>１</w:t>
      </w:r>
      <w:r w:rsidR="00705B99">
        <w:rPr>
          <w:rFonts w:hAnsi="ＭＳ 明朝" w:hint="eastAsia"/>
        </w:rPr>
        <w:t>２</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8" w:history="1">
        <w:r w:rsidRPr="007C0898">
          <w:rPr>
            <w:rStyle w:val="af3"/>
            <w:rFonts w:asciiTheme="minorEastAsia" w:eastAsiaTheme="minorEastAsia" w:hAnsiTheme="minorEastAsia" w:hint="eastAsia"/>
            <w:color w:val="auto"/>
            <w:u w:val="none"/>
          </w:rPr>
          <w:t>会社計算規則</w:t>
        </w:r>
      </w:hyperlink>
      <w:hyperlink r:id="rId9"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63F5705C" w14:textId="77777777" w:rsidR="00807319" w:rsidRPr="007C0898" w:rsidRDefault="00807319">
      <w:pPr>
        <w:widowControl/>
        <w:jc w:val="left"/>
        <w:rPr>
          <w:rFonts w:hAnsi="ＭＳ 明朝"/>
        </w:rPr>
        <w:sectPr w:rsidR="00807319" w:rsidRPr="007C0898" w:rsidSect="00E052FF">
          <w:footerReference w:type="default" r:id="rId10"/>
          <w:pgSz w:w="11906" w:h="16838" w:code="9"/>
          <w:pgMar w:top="1134" w:right="1134" w:bottom="1134" w:left="1134" w:header="737" w:footer="992" w:gutter="0"/>
          <w:cols w:space="425"/>
          <w:docGrid w:type="lines" w:linePitch="291"/>
        </w:sectPr>
      </w:pPr>
    </w:p>
    <w:p w14:paraId="4F643453" w14:textId="544679E3"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705B99">
        <w:rPr>
          <w:rFonts w:hAnsi="ＭＳ 明朝" w:hint="eastAsia"/>
        </w:rPr>
        <w:t>３</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rPr>
            </w:pPr>
            <w:r w:rsidRPr="007C0898">
              <w:rPr>
                <w:rFonts w:ascii="ＭＳ 明朝" w:hAnsi="ＭＳ 明朝" w:hint="eastAsia"/>
                <w:szCs w:val="24"/>
              </w:rPr>
              <w:t>（</w:t>
            </w:r>
            <w:r w:rsidR="00756143" w:rsidRPr="007C0898">
              <w:rPr>
                <w:rFonts w:ascii="ＭＳ 明朝" w:hAnsi="ＭＳ 明朝" w:hint="eastAsia"/>
                <w:szCs w:val="24"/>
              </w:rPr>
              <w:t>提案</w:t>
            </w:r>
            <w:r w:rsidRPr="007C0898">
              <w:rPr>
                <w:rFonts w:ascii="ＭＳ 明朝" w:hAnsi="ＭＳ 明朝" w:hint="eastAsia"/>
                <w:szCs w:val="24"/>
              </w:rPr>
              <w:t>者名）</w:t>
            </w:r>
          </w:p>
          <w:p w14:paraId="45A2BB72" w14:textId="77777777" w:rsidR="00E77B57" w:rsidRPr="007C0898" w:rsidRDefault="00E77B57" w:rsidP="006D445E">
            <w:pPr>
              <w:pStyle w:val="afb"/>
              <w:keepNext/>
              <w:ind w:leftChars="0" w:left="0"/>
              <w:outlineLvl w:val="0"/>
              <w:rPr>
                <w:rFonts w:ascii="ＭＳ 明朝"/>
                <w:b/>
                <w:i/>
                <w:color w:val="0000FF"/>
                <w:szCs w:val="24"/>
              </w:rPr>
            </w:pPr>
            <w:r w:rsidRPr="007C0898">
              <w:rPr>
                <w:rFonts w:ascii="ＭＳ 明朝" w:hAnsi="ＭＳ 明朝" w:hint="eastAsia"/>
                <w:b/>
                <w:i/>
                <w:color w:val="0000FF"/>
                <w:szCs w:val="24"/>
              </w:rPr>
              <w:t>○○株式会社</w:t>
            </w:r>
          </w:p>
          <w:p w14:paraId="0EFDE84C" w14:textId="77777777" w:rsidR="00E77B57" w:rsidRPr="007C0898" w:rsidRDefault="00E77B57" w:rsidP="006D445E">
            <w:pPr>
              <w:pStyle w:val="afb"/>
              <w:keepNext/>
              <w:ind w:leftChars="0" w:left="0"/>
              <w:outlineLvl w:val="0"/>
              <w:rPr>
                <w:rFonts w:ascii="ＭＳ 明朝"/>
                <w:szCs w:val="24"/>
              </w:rPr>
            </w:pPr>
          </w:p>
        </w:tc>
      </w:tr>
    </w:tbl>
    <w:p w14:paraId="58987842" w14:textId="77777777" w:rsidR="00E77B57" w:rsidRPr="007C0898" w:rsidRDefault="00E77B57" w:rsidP="00E77B57">
      <w:pPr>
        <w:pStyle w:val="afb"/>
        <w:ind w:leftChars="0" w:left="420"/>
        <w:rPr>
          <w:rFonts w:ascii="ＭＳ 明朝"/>
          <w:szCs w:val="24"/>
        </w:rPr>
      </w:pPr>
    </w:p>
    <w:p w14:paraId="6C4A560A"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7F4FB398"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・ＮＥＤＯホームページ掲載の「外部評価委員候補一覧」から利害関係の</w:t>
      </w:r>
      <w:r w:rsidRPr="007C0898">
        <w:rPr>
          <w:rFonts w:hAnsi="ＭＳ 明朝" w:hint="eastAsia"/>
          <w:b/>
          <w:bCs/>
          <w:iCs/>
          <w:noProof/>
          <w:color w:val="0000FF"/>
          <w:u w:val="double"/>
        </w:rPr>
        <w:t>ある評価者を検索し、記入してください。</w:t>
      </w:r>
    </w:p>
    <w:p w14:paraId="1174CC43" w14:textId="77777777"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・利害関係のある評価者が該当しない場合は、「無し」を記入してください。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7777777" w:rsidR="00E77B57" w:rsidRPr="007C0898" w:rsidRDefault="00E77B57" w:rsidP="00E77B57">
      <w:pPr>
        <w:ind w:left="440"/>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E77B57">
      <w:pPr>
        <w:ind w:left="209" w:hangingChars="99" w:hanging="209"/>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181B445A"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7CBB0649" w14:textId="53D2770E"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705B99">
        <w:rPr>
          <w:rFonts w:hAnsi="ＭＳ 明朝" w:hint="eastAsia"/>
        </w:rPr>
        <w:t>４</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rPr>
      </w:pPr>
      <w:r w:rsidRPr="007C0898">
        <w:rPr>
          <w:rFonts w:hint="eastAsia"/>
          <w:color w:val="000000"/>
          <w:sz w:val="24"/>
          <w:u w:val="single"/>
        </w:rPr>
        <w:t>提案</w:t>
      </w:r>
      <w:r w:rsidR="001C5258" w:rsidRPr="007C0898">
        <w:rPr>
          <w:rFonts w:hint="eastAsia"/>
          <w:color w:val="000000"/>
          <w:sz w:val="24"/>
          <w:u w:val="single"/>
        </w:rPr>
        <w:t xml:space="preserve">者名称　　　　　　　　　　　　　　　　　　　　　　　　　　　　　　　</w:t>
      </w:r>
    </w:p>
    <w:p w14:paraId="708AF35E" w14:textId="77777777" w:rsidR="001C5258" w:rsidRPr="007C0898" w:rsidRDefault="001C5258" w:rsidP="001C5258">
      <w:pPr>
        <w:jc w:val="left"/>
        <w:rPr>
          <w:color w:val="000000"/>
          <w:sz w:val="24"/>
          <w:u w:val="single"/>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40309E68" w14:textId="77777777" w:rsidR="00807319" w:rsidRPr="007C0898" w:rsidRDefault="00807319" w:rsidP="00CE29C6">
      <w:pPr>
        <w:pStyle w:val="1"/>
        <w:sectPr w:rsidR="00807319" w:rsidRPr="007C0898" w:rsidSect="00E052FF">
          <w:pgSz w:w="11906" w:h="16838" w:code="9"/>
          <w:pgMar w:top="1134" w:right="1134" w:bottom="1134" w:left="1134" w:header="737" w:footer="992" w:gutter="0"/>
          <w:cols w:space="425"/>
          <w:docGrid w:type="lines" w:linePitch="291"/>
        </w:sectPr>
      </w:pPr>
    </w:p>
    <w:p w14:paraId="3E7194B2" w14:textId="6344B1BA"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705B99">
        <w:rPr>
          <w:rFonts w:hint="eastAsia"/>
        </w:rPr>
        <w:t>５</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令和　　年　月　日</w:t>
      </w:r>
    </w:p>
    <w:p w14:paraId="73F41A77"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77777777"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5FC66176" w14:textId="77777777" w:rsidR="00853D2E" w:rsidRPr="001B69F5" w:rsidRDefault="00853D2E" w:rsidP="00853D2E">
      <w:pPr>
        <w:jc w:val="left"/>
        <w:rPr>
          <w:rFonts w:asciiTheme="minorHAnsi" w:hAnsiTheme="minorHAnsi"/>
          <w:color w:val="0000FF"/>
          <w:szCs w:val="24"/>
        </w:rPr>
      </w:pPr>
      <w:r w:rsidRPr="001B69F5">
        <w:rPr>
          <w:rFonts w:asciiTheme="minorHAnsi" w:hAnsiTheme="minorHAnsi"/>
          <w:color w:val="0000FF"/>
          <w:szCs w:val="24"/>
        </w:rPr>
        <w:br w:type="page"/>
      </w:r>
    </w:p>
    <w:p w14:paraId="46BA816F" w14:textId="77777777" w:rsidR="00807319" w:rsidRPr="00853D2E" w:rsidRDefault="00807319" w:rsidP="00CE29C6">
      <w:pPr>
        <w:pStyle w:val="1"/>
        <w:rPr>
          <w:rFonts w:ascii="TmsRmn" w:hAnsi="TmsRmn"/>
        </w:rPr>
        <w:sectPr w:rsidR="00807319" w:rsidRPr="00853D2E" w:rsidSect="00E052FF">
          <w:pgSz w:w="11906" w:h="16838" w:code="9"/>
          <w:pgMar w:top="1134" w:right="1134" w:bottom="1134" w:left="1134" w:header="737" w:footer="992" w:gutter="0"/>
          <w:cols w:space="425"/>
          <w:docGrid w:type="lines" w:linePitch="291"/>
        </w:sectPr>
      </w:pPr>
    </w:p>
    <w:p w14:paraId="5BF9487E" w14:textId="550BF4C8"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055EFE24" w14:textId="77777777" w:rsidR="00E77B57" w:rsidRPr="007C0898" w:rsidRDefault="00E77B57"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F1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83CA"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77777777" w:rsidR="00DA6CCA" w:rsidRDefault="00DA6CCA"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641B"/>
    <w:rsid w:val="005F754D"/>
    <w:rsid w:val="0060092A"/>
    <w:rsid w:val="00601801"/>
    <w:rsid w:val="00601C6C"/>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F7E"/>
    <w:rsid w:val="00BF423F"/>
    <w:rsid w:val="00BF7B8E"/>
    <w:rsid w:val="00C03183"/>
    <w:rsid w:val="00C03FAB"/>
    <w:rsid w:val="00C04E84"/>
    <w:rsid w:val="00C05098"/>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2040E"/>
    <w:rsid w:val="00F2085E"/>
    <w:rsid w:val="00F20D3F"/>
    <w:rsid w:val="00F21A23"/>
    <w:rsid w:val="00F24359"/>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elaws.e-gov.go.jp/search/elawsSearch/elaws_search/lsg0500/418M60000010013_20161001" TargetMode="External" Type="http://schemas.openxmlformats.org/officeDocument/2006/relationships/hyperlink"/><Relationship Id="rId9" Target="http://elaws.e-gov.go.jp/search/elawsSearch/elaws_search/lsg0500/418AC0000000108_20151005"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BFD5-A90B-4D2A-8C81-B415F341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4707</Words>
  <Characters>971</Characters>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