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1A4A9094" w:rsidR="00776B0F" w:rsidRPr="006B544C" w:rsidRDefault="00911BCE" w:rsidP="00566D95">
      <w:pPr>
        <w:widowControl/>
        <w:jc w:val="lef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9993C2E" wp14:editId="78A034EB">
                <wp:simplePos x="0" y="0"/>
                <wp:positionH relativeFrom="column">
                  <wp:posOffset>5772422</wp:posOffset>
                </wp:positionH>
                <wp:positionV relativeFrom="paragraph">
                  <wp:posOffset>148590</wp:posOffset>
                </wp:positionV>
                <wp:extent cx="729341" cy="304378"/>
                <wp:effectExtent l="0" t="0" r="13970" b="1968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1" cy="304378"/>
                        </a:xfrm>
                        <a:prstGeom prst="rect">
                          <a:avLst/>
                        </a:prstGeom>
                        <a:solidFill>
                          <a:srgbClr val="FFFFFF"/>
                        </a:solidFill>
                        <a:ln w="9525">
                          <a:solidFill>
                            <a:srgbClr val="000000"/>
                          </a:solidFill>
                          <a:miter lim="800000"/>
                          <a:headEnd/>
                          <a:tailEnd/>
                        </a:ln>
                      </wps:spPr>
                      <wps:txbx>
                        <w:txbxContent>
                          <w:p w14:paraId="41088A2A" w14:textId="783A02F5" w:rsidR="00911BCE" w:rsidRDefault="00911BCE" w:rsidP="00911BCE">
                            <w:r>
                              <w:rPr>
                                <w:rFonts w:hint="eastAsia"/>
                              </w:rPr>
                              <w:t>別紙</w:t>
                            </w:r>
                            <w:r>
                              <w:rPr>
                                <w:rFonts w:hint="eastAsia"/>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3C2E" id="_x0000_t202" coordsize="21600,21600" o:spt="202" path="m,l,21600r21600,l21600,xe">
                <v:stroke joinstyle="miter"/>
                <v:path gradientshapeok="t" o:connecttype="rect"/>
              </v:shapetype>
              <v:shape id="Text Box 5029" o:spid="_x0000_s1026" type="#_x0000_t202" style="position:absolute;margin-left:454.5pt;margin-top:11.7pt;width:57.45pt;height:2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">
                <v:textbox>
                  <w:txbxContent>
                    <w:p w14:paraId="41088A2A" w14:textId="783A02F5" w:rsidR="00911BCE" w:rsidRDefault="00911BCE" w:rsidP="00911BCE">
                      <w:r>
                        <w:rPr>
                          <w:rFonts w:hint="eastAsia"/>
                        </w:rPr>
                        <w:t>別紙</w:t>
                      </w:r>
                      <w:r>
                        <w:rPr>
                          <w:rFonts w:hint="eastAsia"/>
                        </w:rPr>
                        <w:t>2</w:t>
                      </w:r>
                      <w:r>
                        <w:t>-1</w:t>
                      </w:r>
                    </w:p>
                  </w:txbxContent>
                </v:textbox>
              </v:shape>
            </w:pict>
          </mc:Fallback>
        </mc:AlternateContent>
      </w:r>
    </w:p>
    <w:p w14:paraId="44B8172B" w14:textId="46242008" w:rsidR="00945FCE" w:rsidRDefault="00945FCE" w:rsidP="00945FCE">
      <w:pPr>
        <w:widowControl/>
        <w:jc w:val="left"/>
        <w:rPr>
          <w:szCs w:val="21"/>
        </w:rPr>
      </w:pPr>
    </w:p>
    <w:p w14:paraId="367CDD8B" w14:textId="2A581CA8"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sz w:val="20"/>
          <w:szCs w:val="20"/>
        </w:rPr>
        <w:t>ＮＥＤＯ</w:t>
      </w:r>
      <w:r w:rsidR="00945FCE"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624F0A3F"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5B4276">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5B4276">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5B4276">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413FE322" w:rsidR="00945FCE" w:rsidRPr="00854A33" w:rsidRDefault="00854A33" w:rsidP="00945FCE">
      <w:pPr>
        <w:widowControl/>
        <w:jc w:val="left"/>
        <w:rPr>
          <w:szCs w:val="21"/>
        </w:rPr>
      </w:pPr>
      <w:r w:rsidRPr="00854A33">
        <w:rPr>
          <w:noProof/>
        </w:rPr>
        <w:lastRenderedPageBreak/>
        <w:drawing>
          <wp:inline distT="0" distB="0" distL="0" distR="0" wp14:anchorId="17D95251" wp14:editId="4AF96A64">
            <wp:extent cx="6645910" cy="9757410"/>
            <wp:effectExtent l="0" t="0" r="254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757410"/>
                    </a:xfrm>
                    <a:prstGeom prst="rect">
                      <a:avLst/>
                    </a:prstGeom>
                    <a:noFill/>
                    <a:ln>
                      <a:noFill/>
                    </a:ln>
                  </pic:spPr>
                </pic:pic>
              </a:graphicData>
            </a:graphic>
          </wp:inline>
        </w:drawing>
      </w:r>
    </w:p>
    <w:p w14:paraId="04DBC970" w14:textId="14C6755C"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1EB071A1" w:rsidR="00AC43AB" w:rsidRPr="000F1301" w:rsidRDefault="00AC43AB" w:rsidP="0080450D">
      <w:pPr>
        <w:pStyle w:val="aff0"/>
        <w:numPr>
          <w:ilvl w:val="1"/>
          <w:numId w:val="19"/>
        </w:numPr>
        <w:ind w:leftChars="0" w:left="0" w:firstLine="1128"/>
        <w:rPr>
          <w:rFonts w:asciiTheme="minorEastAsia" w:eastAsiaTheme="minorEastAsia" w:hAnsiTheme="minorEastAsia"/>
        </w:rPr>
      </w:pPr>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3932563"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F0E479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11DE4D98"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5792626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25D67C1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5F1A2FA"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06E25F9" wp14:editId="6CB384AA">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27"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2205FB75"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DF56B57" wp14:editId="0B23AC92">
                <wp:simplePos x="0" y="0"/>
                <wp:positionH relativeFrom="column">
                  <wp:posOffset>156846</wp:posOffset>
                </wp:positionH>
                <wp:positionV relativeFrom="paragraph">
                  <wp:posOffset>74295</wp:posOffset>
                </wp:positionV>
                <wp:extent cx="5581650" cy="24955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47419"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6B57" id="正方形/長方形 31" o:spid="_x0000_s1028"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7547419"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9072" behindDoc="0" locked="0" layoutInCell="1" allowOverlap="1" wp14:anchorId="72A006D9" wp14:editId="1B1A282D">
            <wp:simplePos x="0" y="0"/>
            <wp:positionH relativeFrom="column">
              <wp:posOffset>537845</wp:posOffset>
            </wp:positionH>
            <wp:positionV relativeFrom="paragraph">
              <wp:posOffset>226060</wp:posOffset>
            </wp:positionV>
            <wp:extent cx="4848225" cy="2219325"/>
            <wp:effectExtent l="247650" t="0" r="257175" b="28575"/>
            <wp:wrapNone/>
            <wp:docPr id="35" name="図表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8C788A" w14:textId="77777777" w:rsidR="00AC43AB" w:rsidRPr="000F1301" w:rsidRDefault="00AC43AB" w:rsidP="00AC43AB">
      <w:pPr>
        <w:rPr>
          <w:rFonts w:asciiTheme="minorEastAsia" w:eastAsiaTheme="minorEastAsia" w:hAnsiTheme="minorEastAsia"/>
        </w:rPr>
      </w:pPr>
    </w:p>
    <w:p w14:paraId="59F93972" w14:textId="77777777" w:rsidR="00AC43AB" w:rsidRPr="000F1301" w:rsidRDefault="00AC43AB" w:rsidP="00AC43AB">
      <w:pPr>
        <w:rPr>
          <w:rFonts w:asciiTheme="minorEastAsia" w:eastAsiaTheme="minorEastAsia" w:hAnsiTheme="minorEastAsia"/>
        </w:rPr>
      </w:pPr>
    </w:p>
    <w:p w14:paraId="491DB928" w14:textId="77777777" w:rsidR="00AC43AB" w:rsidRPr="000F1301" w:rsidRDefault="00AC43AB" w:rsidP="00AC43AB">
      <w:pPr>
        <w:rPr>
          <w:rFonts w:asciiTheme="minorEastAsia" w:eastAsiaTheme="minorEastAsia" w:hAnsiTheme="minorEastAsia"/>
        </w:rPr>
      </w:pPr>
    </w:p>
    <w:p w14:paraId="14551F35" w14:textId="77777777" w:rsidR="00AC43AB" w:rsidRPr="000F1301" w:rsidRDefault="00AC43AB" w:rsidP="00AC43AB">
      <w:pPr>
        <w:rPr>
          <w:rFonts w:asciiTheme="minorEastAsia" w:eastAsiaTheme="minorEastAsia" w:hAnsiTheme="minorEastAsia"/>
        </w:rPr>
      </w:pPr>
    </w:p>
    <w:p w14:paraId="209AE868" w14:textId="77777777" w:rsidR="00AC43AB" w:rsidRPr="000F1301" w:rsidRDefault="00AC43AB" w:rsidP="00AC43AB">
      <w:pPr>
        <w:rPr>
          <w:rFonts w:asciiTheme="minorEastAsia" w:eastAsiaTheme="minorEastAsia" w:hAnsiTheme="minorEastAsia"/>
        </w:rPr>
      </w:pPr>
    </w:p>
    <w:p w14:paraId="71D2A170" w14:textId="77777777" w:rsidR="00AC43AB" w:rsidRPr="000F1301" w:rsidRDefault="00AC43AB" w:rsidP="00AC43AB">
      <w:pPr>
        <w:rPr>
          <w:rFonts w:asciiTheme="minorEastAsia" w:eastAsiaTheme="minorEastAsia" w:hAnsiTheme="minorEastAsia"/>
        </w:rPr>
      </w:pPr>
    </w:p>
    <w:p w14:paraId="388846B7" w14:textId="77777777" w:rsidR="00AC43AB" w:rsidRPr="000F1301" w:rsidRDefault="00AC43AB" w:rsidP="00AC43AB">
      <w:pPr>
        <w:rPr>
          <w:rFonts w:asciiTheme="minorEastAsia" w:eastAsiaTheme="minorEastAsia" w:hAnsiTheme="minorEastAsia"/>
        </w:rPr>
      </w:pPr>
    </w:p>
    <w:p w14:paraId="5F0DAC3A" w14:textId="77777777" w:rsidR="00AC43AB" w:rsidRPr="000F1301" w:rsidRDefault="00AC43AB" w:rsidP="00AC43AB">
      <w:pPr>
        <w:rPr>
          <w:rFonts w:asciiTheme="minorEastAsia" w:eastAsiaTheme="minorEastAsia" w:hAnsiTheme="minorEastAsia"/>
        </w:rPr>
      </w:pPr>
    </w:p>
    <w:p w14:paraId="2A950D6E" w14:textId="77777777" w:rsidR="00AC43AB" w:rsidRPr="000F1301" w:rsidRDefault="00AC43AB" w:rsidP="00AC43AB">
      <w:pPr>
        <w:rPr>
          <w:rFonts w:asciiTheme="minorEastAsia" w:eastAsiaTheme="minorEastAsia" w:hAnsiTheme="minorEastAsia"/>
        </w:rPr>
      </w:pPr>
    </w:p>
    <w:p w14:paraId="3330FF11" w14:textId="77777777" w:rsidR="00AC43AB" w:rsidRPr="000F1301" w:rsidRDefault="00AC43AB" w:rsidP="00AC43AB">
      <w:pPr>
        <w:rPr>
          <w:rFonts w:asciiTheme="minorEastAsia" w:eastAsiaTheme="minorEastAsia" w:hAnsiTheme="minorEastAsia"/>
        </w:rPr>
      </w:pPr>
    </w:p>
    <w:p w14:paraId="79B5FB4D" w14:textId="77777777" w:rsidR="00AC43AB" w:rsidRPr="000F1301" w:rsidRDefault="00AC43AB" w:rsidP="00AC43AB">
      <w:pPr>
        <w:rPr>
          <w:rFonts w:asciiTheme="minorEastAsia" w:eastAsiaTheme="minorEastAsia" w:hAnsiTheme="minorEastAsia"/>
        </w:rPr>
      </w:pPr>
    </w:p>
    <w:p w14:paraId="5576A7CA" w14:textId="77777777" w:rsidR="00AC43AB" w:rsidRPr="000F1301" w:rsidRDefault="00AC43AB" w:rsidP="00AC43AB">
      <w:pPr>
        <w:rPr>
          <w:rFonts w:asciiTheme="minorEastAsia" w:eastAsiaTheme="minorEastAsia" w:hAnsiTheme="minorEastAsia"/>
        </w:rPr>
      </w:pPr>
    </w:p>
    <w:p w14:paraId="440FE319" w14:textId="77777777" w:rsidR="00AC43AB" w:rsidRPr="000F1301" w:rsidRDefault="00AC43AB" w:rsidP="00AC43AB">
      <w:pPr>
        <w:rPr>
          <w:rFonts w:asciiTheme="minorEastAsia" w:eastAsiaTheme="minorEastAsia" w:hAnsiTheme="minorEastAsia"/>
        </w:rPr>
      </w:pP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3F85B9B9" w14:textId="0832B565"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8DA"/>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1E50"/>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1BCE"/>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7E2"/>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0BD"/>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5D3B"/>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1375" custLinFactNeighborY="11629"/>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788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788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215</Words>
  <Characters>1230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