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1EDBC" w14:textId="46DA96D7"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6768A1B1" w:rsidR="00E108D6" w:rsidRPr="00CD7FA9" w:rsidRDefault="00E108D6" w:rsidP="00155AAF">
                            <w:pPr>
                              <w:pStyle w:val="aff2"/>
                              <w:rPr>
                                <w:rFonts w:asciiTheme="minorEastAsia" w:eastAsiaTheme="minorEastAsia"/>
                                <w:sz w:val="24"/>
                              </w:rPr>
                            </w:pPr>
                            <w:r w:rsidRPr="00CD7FA9">
                              <w:rPr>
                                <w:rFonts w:asciiTheme="minorEastAsia" w:eastAsiaTheme="minorEastAsia" w:hint="eastAsia"/>
                                <w:sz w:val="24"/>
                              </w:rPr>
                              <w:t>別添</w:t>
                            </w:r>
                            <w:r w:rsidR="0073279E">
                              <w:rPr>
                                <w:rFonts w:asciiTheme="minorEastAsia" w:eastAsiaTheme="minorEastAsia" w:hint="eastAsia"/>
                                <w:sz w:val="24"/>
                              </w:rPr>
                              <w:t>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3915F0AE" w14:textId="6768A1B1" w:rsidR="00E108D6" w:rsidRPr="00CD7FA9" w:rsidRDefault="00E108D6" w:rsidP="00155AAF">
                      <w:pPr>
                        <w:pStyle w:val="aff2"/>
                        <w:rPr>
                          <w:rFonts w:asciiTheme="minorEastAsia" w:eastAsiaTheme="minorEastAsia"/>
                          <w:sz w:val="24"/>
                        </w:rPr>
                      </w:pPr>
                      <w:r w:rsidRPr="00CD7FA9">
                        <w:rPr>
                          <w:rFonts w:asciiTheme="minorEastAsia" w:eastAsiaTheme="minorEastAsia" w:hint="eastAsia"/>
                          <w:sz w:val="24"/>
                        </w:rPr>
                        <w:t>別添</w:t>
                      </w:r>
                      <w:r w:rsidR="0073279E">
                        <w:rPr>
                          <w:rFonts w:asciiTheme="minorEastAsia" w:eastAsiaTheme="minorEastAsia" w:hint="eastAsia"/>
                          <w:sz w:val="24"/>
                        </w:rPr>
                        <w:t>２</w:t>
                      </w:r>
                    </w:p>
                  </w:txbxContent>
                </v:textbox>
                <w10:wrap anchorx="margin"/>
              </v:shape>
            </w:pict>
          </mc:Fallback>
        </mc:AlternateContent>
      </w:r>
    </w:p>
    <w:p w14:paraId="1CDA3CE3" w14:textId="77777777" w:rsidR="004A2B6E" w:rsidRPr="00747E9C" w:rsidRDefault="004A2B6E" w:rsidP="004A2B6E">
      <w:pPr>
        <w:jc w:val="center"/>
        <w:rPr>
          <w:color w:val="000000" w:themeColor="text1"/>
          <w:sz w:val="24"/>
        </w:rPr>
      </w:pPr>
      <w:r w:rsidRPr="00747E9C">
        <w:rPr>
          <w:rFonts w:hint="eastAsia"/>
          <w:color w:val="000000" w:themeColor="text1"/>
          <w:sz w:val="24"/>
        </w:rPr>
        <w:t>－　ワーク・ライフ・バランス等推進企業に関する認定等の状況について　－</w:t>
      </w:r>
    </w:p>
    <w:p w14:paraId="7B5E800B" w14:textId="77777777" w:rsidR="004A2B6E" w:rsidRPr="00747E9C" w:rsidRDefault="004A2B6E" w:rsidP="004A2B6E">
      <w:pPr>
        <w:jc w:val="left"/>
        <w:rPr>
          <w:color w:val="000000" w:themeColor="text1"/>
          <w:szCs w:val="21"/>
        </w:rPr>
      </w:pPr>
    </w:p>
    <w:p w14:paraId="73630CF2" w14:textId="20DB8950" w:rsidR="004A2B6E" w:rsidRPr="0017640A" w:rsidRDefault="00891A26" w:rsidP="00FF11E4">
      <w:pPr>
        <w:ind w:firstLineChars="100" w:firstLine="210"/>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2016</w:t>
      </w:r>
      <w:r w:rsidR="004A2B6E" w:rsidRPr="0017640A">
        <w:rPr>
          <w:rFonts w:asciiTheme="minorEastAsia" w:eastAsiaTheme="minorEastAsia" w:hAnsiTheme="minorEastAsia" w:hint="eastAsia"/>
          <w:color w:val="000000" w:themeColor="text1"/>
          <w:szCs w:val="21"/>
        </w:rPr>
        <w:t>年3月22日にすべての女性が輝く社会づくり本部において、社会全体で、女性活躍の前提となるワーク・ライフ・バランス等の実現に向けた取組を進めるため、新たに、女性活躍推進法</w:t>
      </w:r>
      <w:r w:rsidR="00D36EBB">
        <w:rPr>
          <w:rFonts w:asciiTheme="minorEastAsia" w:eastAsiaTheme="minorEastAsia" w:hAnsiTheme="minorEastAsia" w:hint="eastAsia"/>
          <w:color w:val="000000" w:themeColor="text1"/>
          <w:szCs w:val="21"/>
        </w:rPr>
        <w:t>第20条（現</w:t>
      </w:r>
      <w:r w:rsidR="004A2B6E" w:rsidRPr="0017640A">
        <w:rPr>
          <w:rFonts w:asciiTheme="minorEastAsia" w:eastAsiaTheme="minorEastAsia" w:hAnsiTheme="minorEastAsia" w:hint="eastAsia"/>
          <w:color w:val="000000" w:themeColor="text1"/>
          <w:szCs w:val="21"/>
        </w:rPr>
        <w:t>2</w:t>
      </w:r>
      <w:r w:rsidR="006C759C" w:rsidRPr="0017640A">
        <w:rPr>
          <w:rFonts w:asciiTheme="minorEastAsia" w:eastAsiaTheme="minorEastAsia" w:hAnsiTheme="minorEastAsia" w:hint="eastAsia"/>
          <w:color w:val="000000" w:themeColor="text1"/>
          <w:szCs w:val="21"/>
        </w:rPr>
        <w:t>4</w:t>
      </w:r>
      <w:r w:rsidR="004A2B6E" w:rsidRPr="0017640A">
        <w:rPr>
          <w:rFonts w:asciiTheme="minorEastAsia" w:eastAsiaTheme="minorEastAsia" w:hAnsiTheme="minorEastAsia" w:hint="eastAsia"/>
          <w:color w:val="000000" w:themeColor="text1"/>
          <w:szCs w:val="21"/>
        </w:rPr>
        <w:t>条</w:t>
      </w:r>
      <w:r w:rsidR="00D36EBB">
        <w:rPr>
          <w:rFonts w:asciiTheme="minorEastAsia" w:eastAsiaTheme="minorEastAsia" w:hAnsiTheme="minorEastAsia" w:hint="eastAsia"/>
          <w:color w:val="000000" w:themeColor="text1"/>
          <w:szCs w:val="21"/>
        </w:rPr>
        <w:t>）</w:t>
      </w:r>
      <w:r w:rsidR="004A2B6E" w:rsidRPr="0017640A">
        <w:rPr>
          <w:rFonts w:asciiTheme="minorEastAsia" w:eastAsiaTheme="minorEastAsia" w:hAnsiTheme="minorEastAsia" w:hint="eastAsia"/>
          <w:color w:val="000000" w:themeColor="text1"/>
          <w:szCs w:val="21"/>
        </w:rPr>
        <w:t>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BD02FE" w:rsidRPr="0017640A">
        <w:rPr>
          <w:rFonts w:asciiTheme="minorEastAsia" w:eastAsiaTheme="minorEastAsia" w:hAnsiTheme="minorEastAsia" w:hint="eastAsia"/>
          <w:color w:val="000000" w:themeColor="text1"/>
          <w:szCs w:val="21"/>
        </w:rPr>
        <w:t>企業</w:t>
      </w:r>
      <w:r w:rsidR="004B67F8" w:rsidRPr="0017640A">
        <w:rPr>
          <w:rFonts w:asciiTheme="minorEastAsia" w:eastAsiaTheme="minorEastAsia" w:hAnsiTheme="minorEastAsia" w:hint="eastAsia"/>
          <w:color w:val="000000" w:themeColor="text1"/>
          <w:szCs w:val="21"/>
        </w:rPr>
        <w:t>・</w:t>
      </w:r>
      <w:r w:rsidR="004B67F8" w:rsidRPr="0017640A">
        <w:rPr>
          <w:rFonts w:asciiTheme="minorEastAsia" w:eastAsiaTheme="minorEastAsia" w:hAnsiTheme="minorEastAsia" w:hint="eastAsia"/>
          <w:color w:val="000000" w:themeColor="text1"/>
        </w:rPr>
        <w:t>プラチナえるぼし認定企業</w:t>
      </w:r>
      <w:r w:rsidR="004A2B6E" w:rsidRPr="0017640A">
        <w:rPr>
          <w:rFonts w:asciiTheme="minorEastAsia" w:eastAsiaTheme="minorEastAsia" w:hAnsiTheme="minorEastAsia" w:hint="eastAsia"/>
          <w:color w:val="000000" w:themeColor="text1"/>
          <w:szCs w:val="21"/>
        </w:rPr>
        <w:t>)、次世代育成支援対策推進法に基づく認定(くるみん認定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・プラチナくるみん認定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)、若者雇用促進法に基づく認定（ユースエール認定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）の状況について記載ください。</w:t>
      </w:r>
    </w:p>
    <w:p w14:paraId="39F48FEF"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p>
    <w:p w14:paraId="76428C94"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対象：提案書の実施体制に記載される委託先（再委託等は除く）</w:t>
      </w:r>
    </w:p>
    <w:p w14:paraId="7217F1EA"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※提出時点を基準としてください。</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885ED10"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4E475A5"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5EA8D47"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23ABD99"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えるぼし認定行動計画（○年○月○日）、</w:t>
            </w:r>
          </w:p>
          <w:p w14:paraId="52888A7F" w14:textId="7C558DCC" w:rsidR="004A2B6E" w:rsidRPr="0017640A" w:rsidRDefault="00E724C1" w:rsidP="00E724C1">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ユースエール認定</w:t>
            </w:r>
          </w:p>
        </w:tc>
      </w:tr>
      <w:tr w:rsidR="004A2B6E" w:rsidRPr="0017640A" w14:paraId="3F4723CD" w14:textId="77777777" w:rsidTr="00913D73">
        <w:trPr>
          <w:trHeight w:val="230"/>
        </w:trPr>
        <w:tc>
          <w:tcPr>
            <w:tcW w:w="2441" w:type="dxa"/>
          </w:tcPr>
          <w:p w14:paraId="42435F7E" w14:textId="4C1AD92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○○大学</w:t>
            </w:r>
          </w:p>
        </w:tc>
        <w:tc>
          <w:tcPr>
            <w:tcW w:w="1391" w:type="dxa"/>
          </w:tcPr>
          <w:p w14:paraId="2DB33E2A"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50649F7B" w14:textId="792DBD8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プラチナくるみん認定（○年○月○日）</w:t>
            </w:r>
          </w:p>
        </w:tc>
      </w:tr>
      <w:tr w:rsidR="004A2B6E" w:rsidRPr="0017640A" w14:paraId="064834A8" w14:textId="77777777" w:rsidTr="00913D73">
        <w:trPr>
          <w:trHeight w:val="64"/>
        </w:trPr>
        <w:tc>
          <w:tcPr>
            <w:tcW w:w="2441" w:type="dxa"/>
          </w:tcPr>
          <w:p w14:paraId="27353B74" w14:textId="77777777" w:rsidR="004A2B6E" w:rsidRPr="0017640A" w:rsidRDefault="004A2B6E" w:rsidP="004A2B6E">
            <w:pPr>
              <w:jc w:val="left"/>
              <w:rPr>
                <w:rFonts w:asciiTheme="minorEastAsia" w:eastAsiaTheme="minorEastAsia" w:hAnsiTheme="minorEastAsia"/>
                <w:color w:val="000000" w:themeColor="text1"/>
                <w:szCs w:val="21"/>
              </w:rPr>
            </w:pPr>
          </w:p>
        </w:tc>
        <w:tc>
          <w:tcPr>
            <w:tcW w:w="1391" w:type="dxa"/>
          </w:tcPr>
          <w:p w14:paraId="40368BA9" w14:textId="77777777" w:rsidR="004A2B6E" w:rsidRPr="0017640A" w:rsidRDefault="004A2B6E" w:rsidP="004A2B6E">
            <w:pPr>
              <w:jc w:val="left"/>
              <w:rPr>
                <w:rFonts w:asciiTheme="minorEastAsia" w:eastAsiaTheme="minorEastAsia" w:hAnsiTheme="minorEastAsia"/>
                <w:color w:val="000000" w:themeColor="text1"/>
                <w:szCs w:val="21"/>
              </w:rPr>
            </w:pPr>
          </w:p>
        </w:tc>
        <w:tc>
          <w:tcPr>
            <w:tcW w:w="5969" w:type="dxa"/>
          </w:tcPr>
          <w:p w14:paraId="0798A6EB" w14:textId="77777777" w:rsidR="004A2B6E" w:rsidRPr="0017640A" w:rsidRDefault="004A2B6E" w:rsidP="004A2B6E">
            <w:pPr>
              <w:jc w:val="left"/>
              <w:rPr>
                <w:rFonts w:asciiTheme="minorEastAsia" w:eastAsiaTheme="minorEastAsia" w:hAnsiTheme="minorEastAsia"/>
                <w:color w:val="000000" w:themeColor="text1"/>
                <w:szCs w:val="21"/>
              </w:rPr>
            </w:pPr>
          </w:p>
        </w:tc>
      </w:tr>
    </w:tbl>
    <w:p w14:paraId="1B18B5C0"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※必要に応じて、適宜行を追加してください。</w:t>
      </w:r>
    </w:p>
    <w:p w14:paraId="1D18FA3F" w14:textId="0E23A735" w:rsidR="00B11464" w:rsidRPr="00747E9C" w:rsidRDefault="00534589" w:rsidP="00913D73">
      <w:pPr>
        <w:ind w:firstLineChars="100" w:firstLine="210"/>
        <w:jc w:val="left"/>
        <w:rPr>
          <w:color w:val="000000" w:themeColor="text1"/>
          <w:szCs w:val="21"/>
        </w:rPr>
      </w:pPr>
      <w:r w:rsidRPr="0017640A">
        <w:rPr>
          <w:rFonts w:asciiTheme="minorEastAsia" w:eastAsiaTheme="minorEastAsia" w:hAnsiTheme="minorEastAsia" w:hint="eastAsia"/>
          <w:color w:val="000000" w:themeColor="text1"/>
          <w:szCs w:val="21"/>
        </w:rPr>
        <w:t>※証拠書類</w:t>
      </w:r>
      <w:r w:rsidRPr="0017640A">
        <w:rPr>
          <w:rFonts w:asciiTheme="minorEastAsia" w:eastAsiaTheme="minorEastAsia" w:hAnsiTheme="minorEastAsia"/>
          <w:color w:val="000000" w:themeColor="text1"/>
          <w:szCs w:val="21"/>
        </w:rPr>
        <w:t>等の</w:t>
      </w:r>
      <w:r w:rsidRPr="0017640A">
        <w:rPr>
          <w:rFonts w:asciiTheme="minorEastAsia" w:eastAsiaTheme="minorEastAsia" w:hAnsiTheme="minorEastAsia" w:hint="eastAsia"/>
          <w:color w:val="000000" w:themeColor="text1"/>
          <w:szCs w:val="21"/>
        </w:rPr>
        <w:t>提出</w:t>
      </w:r>
      <w:r w:rsidRPr="0017640A">
        <w:rPr>
          <w:rFonts w:asciiTheme="minorEastAsia" w:eastAsiaTheme="minorEastAsia" w:hAnsiTheme="minorEastAsia"/>
          <w:color w:val="000000" w:themeColor="text1"/>
          <w:szCs w:val="21"/>
        </w:rPr>
        <w:t>をお願いする</w:t>
      </w:r>
      <w:r w:rsidRPr="0017640A">
        <w:rPr>
          <w:rFonts w:asciiTheme="minorEastAsia" w:eastAsiaTheme="minorEastAsia" w:hAnsiTheme="minorEastAsia" w:hint="eastAsia"/>
          <w:color w:val="000000" w:themeColor="text1"/>
          <w:szCs w:val="21"/>
        </w:rPr>
        <w:t>可能性があります。</w:t>
      </w:r>
    </w:p>
    <w:p w14:paraId="08D25A00" w14:textId="77777777" w:rsidR="00913D73" w:rsidRPr="00747E9C" w:rsidRDefault="00913D73" w:rsidP="00913D73">
      <w:pPr>
        <w:spacing w:line="0" w:lineRule="atLeast"/>
        <w:ind w:firstLineChars="100" w:firstLine="80"/>
        <w:jc w:val="left"/>
        <w:rPr>
          <w:color w:val="000000" w:themeColor="text1"/>
          <w:sz w:val="8"/>
          <w:szCs w:val="8"/>
        </w:rPr>
      </w:pPr>
    </w:p>
    <w:p w14:paraId="3029547C" w14:textId="77777777" w:rsidR="004A2B6E" w:rsidRPr="0017640A" w:rsidRDefault="004A2B6E" w:rsidP="00CD7FA9">
      <w:pPr>
        <w:ind w:leftChars="100" w:left="210"/>
        <w:jc w:val="left"/>
        <w:rPr>
          <w:rFonts w:asciiTheme="minorEastAsia" w:eastAsiaTheme="minorEastAsia" w:hAnsiTheme="minorEastAsia" w:cs="Arial Unicode MS"/>
          <w:color w:val="000000" w:themeColor="text1"/>
          <w:sz w:val="18"/>
          <w:szCs w:val="18"/>
        </w:rPr>
      </w:pPr>
      <w:r w:rsidRPr="0017640A">
        <w:rPr>
          <w:rFonts w:asciiTheme="minorEastAsia" w:eastAsiaTheme="minorEastAsia" w:hAnsiTheme="minorEastAsia" w:cs="Arial Unicode MS" w:hint="eastAsia"/>
          <w:color w:val="000000" w:themeColor="text1"/>
          <w:sz w:val="18"/>
          <w:szCs w:val="18"/>
        </w:rPr>
        <w:t>【加点対象認定】</w:t>
      </w:r>
    </w:p>
    <w:p w14:paraId="3C9AEA32" w14:textId="60131B41" w:rsidR="004A2B6E" w:rsidRPr="00FF11E4" w:rsidRDefault="004A2B6E" w:rsidP="00CD7FA9">
      <w:pPr>
        <w:ind w:leftChars="100" w:left="210"/>
        <w:jc w:val="left"/>
        <w:rPr>
          <w:rFonts w:asciiTheme="minorEastAsia" w:eastAsiaTheme="minorEastAsia" w:hAnsiTheme="minorEastAsia"/>
          <w:noProof/>
          <w:color w:val="000000" w:themeColor="text1"/>
          <w:sz w:val="18"/>
          <w:szCs w:val="18"/>
        </w:rPr>
      </w:pPr>
      <w:r w:rsidRPr="0017640A">
        <w:rPr>
          <w:rFonts w:asciiTheme="minorEastAsia" w:eastAsiaTheme="minorEastAsia" w:hAnsiTheme="minorEastAsia" w:cs="Arial Unicode MS" w:hint="eastAsia"/>
          <w:color w:val="000000" w:themeColor="text1"/>
          <w:sz w:val="18"/>
          <w:szCs w:val="18"/>
        </w:rPr>
        <w:t xml:space="preserve">（参考：女性活躍推進法特集ページ　</w:t>
      </w:r>
      <w:hyperlink r:id="rId7" w:history="1">
        <w:r w:rsidRPr="0017640A">
          <w:rPr>
            <w:rStyle w:val="afffd"/>
            <w:rFonts w:asciiTheme="minorEastAsia" w:eastAsiaTheme="minorEastAsia" w:hAnsiTheme="minorEastAsia"/>
            <w:color w:val="000000" w:themeColor="text1"/>
            <w:sz w:val="18"/>
            <w:szCs w:val="18"/>
          </w:rPr>
          <w:t>https://www.mhlw.go.jp/stf/seisakunitsuite/bunya/0000091025.html</w:t>
        </w:r>
      </w:hyperlink>
      <w:r w:rsidRPr="0017640A">
        <w:rPr>
          <w:rFonts w:asciiTheme="minorEastAsia" w:eastAsiaTheme="minorEastAsia" w:hAnsiTheme="minorEastAsia" w:hint="eastAsia"/>
          <w:color w:val="000000" w:themeColor="text1"/>
          <w:sz w:val="18"/>
          <w:szCs w:val="18"/>
        </w:rPr>
        <w:t>）</w:t>
      </w:r>
    </w:p>
    <w:tbl>
      <w:tblPr>
        <w:tblStyle w:val="affff2"/>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4A2B6E" w:rsidRPr="00747E9C" w14:paraId="7F43DCC9" w14:textId="77777777" w:rsidTr="00BD02FE">
        <w:trPr>
          <w:trHeight w:val="320"/>
        </w:trPr>
        <w:tc>
          <w:tcPr>
            <w:tcW w:w="8652" w:type="dxa"/>
            <w:gridSpan w:val="2"/>
            <w:vAlign w:val="center"/>
          </w:tcPr>
          <w:p w14:paraId="1E174F2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認定等の区分</w:t>
            </w:r>
          </w:p>
        </w:tc>
      </w:tr>
      <w:tr w:rsidR="004A2B6E" w:rsidRPr="00747E9C" w14:paraId="4AD51E7F" w14:textId="77777777" w:rsidTr="00BD02FE">
        <w:trPr>
          <w:trHeight w:val="320"/>
        </w:trPr>
        <w:tc>
          <w:tcPr>
            <w:tcW w:w="4788" w:type="dxa"/>
            <w:vMerge w:val="restart"/>
            <w:vAlign w:val="center"/>
          </w:tcPr>
          <w:p w14:paraId="6979FA83"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女性活躍推進法に基づく認定</w:t>
            </w:r>
          </w:p>
          <w:p w14:paraId="078C5839" w14:textId="13AC9B64"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w:t>
            </w:r>
            <w:r w:rsidRPr="00747E9C">
              <w:rPr>
                <w:rFonts w:asciiTheme="minorEastAsia" w:hAnsiTheme="minorEastAsia" w:hint="eastAsia"/>
                <w:color w:val="000000" w:themeColor="text1"/>
                <w:sz w:val="18"/>
                <w:szCs w:val="18"/>
              </w:rPr>
              <w:t>えるぼし認定</w:t>
            </w:r>
            <w:r w:rsidR="00BD02FE" w:rsidRPr="00747E9C">
              <w:rPr>
                <w:rFonts w:asciiTheme="minorEastAsia" w:hAnsiTheme="minorEastAsia" w:hint="eastAsia"/>
                <w:color w:val="000000" w:themeColor="text1"/>
                <w:sz w:val="18"/>
                <w:szCs w:val="18"/>
              </w:rPr>
              <w:t>企業</w:t>
            </w:r>
            <w:r w:rsidR="004B67F8" w:rsidRPr="00747E9C">
              <w:rPr>
                <w:rFonts w:hint="eastAsia"/>
                <w:color w:val="000000" w:themeColor="text1"/>
                <w:sz w:val="18"/>
                <w:szCs w:val="18"/>
              </w:rPr>
              <w:t>・プラチナえるぼし認定企業</w:t>
            </w:r>
            <w:r w:rsidRPr="00747E9C">
              <w:rPr>
                <w:rFonts w:asciiTheme="minorEastAsia" w:hAnsiTheme="minorEastAsia" w:hint="eastAsia"/>
                <w:color w:val="000000" w:themeColor="text1"/>
                <w:sz w:val="18"/>
                <w:szCs w:val="21"/>
              </w:rPr>
              <w:t>）</w:t>
            </w:r>
          </w:p>
        </w:tc>
        <w:tc>
          <w:tcPr>
            <w:tcW w:w="3864" w:type="dxa"/>
            <w:vAlign w:val="center"/>
          </w:tcPr>
          <w:p w14:paraId="2E213403" w14:textId="77777777"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１段階目</w:t>
            </w:r>
            <w:r w:rsidRPr="00747E9C">
              <w:rPr>
                <w:rFonts w:asciiTheme="minorEastAsia" w:hAnsiTheme="minorEastAsia" w:hint="eastAsia"/>
                <w:color w:val="000000" w:themeColor="text1"/>
                <w:sz w:val="18"/>
                <w:szCs w:val="21"/>
                <w:vertAlign w:val="superscript"/>
              </w:rPr>
              <w:t>※１</w:t>
            </w:r>
          </w:p>
        </w:tc>
      </w:tr>
      <w:tr w:rsidR="004A2B6E" w:rsidRPr="00747E9C" w14:paraId="2B660E72" w14:textId="77777777" w:rsidTr="00BD02FE">
        <w:trPr>
          <w:trHeight w:val="333"/>
        </w:trPr>
        <w:tc>
          <w:tcPr>
            <w:tcW w:w="4788" w:type="dxa"/>
            <w:vMerge/>
            <w:vAlign w:val="center"/>
          </w:tcPr>
          <w:p w14:paraId="6CFFCBF2"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2C3FECA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２段階目</w:t>
            </w:r>
            <w:r w:rsidRPr="00747E9C">
              <w:rPr>
                <w:rFonts w:asciiTheme="minorEastAsia" w:hAnsiTheme="minorEastAsia" w:hint="eastAsia"/>
                <w:color w:val="000000" w:themeColor="text1"/>
                <w:sz w:val="18"/>
                <w:szCs w:val="21"/>
                <w:vertAlign w:val="superscript"/>
              </w:rPr>
              <w:t>※１</w:t>
            </w:r>
          </w:p>
        </w:tc>
      </w:tr>
      <w:tr w:rsidR="004A2B6E" w:rsidRPr="00747E9C" w14:paraId="0367D9B3" w14:textId="77777777" w:rsidTr="00BD02FE">
        <w:trPr>
          <w:trHeight w:val="333"/>
        </w:trPr>
        <w:tc>
          <w:tcPr>
            <w:tcW w:w="4788" w:type="dxa"/>
            <w:vMerge/>
            <w:vAlign w:val="center"/>
          </w:tcPr>
          <w:p w14:paraId="0544EE1B"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406F283F" w14:textId="6A62BF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３段階目</w:t>
            </w:r>
            <w:r w:rsidR="004B67F8" w:rsidRPr="00747E9C">
              <w:rPr>
                <w:rFonts w:asciiTheme="minorEastAsia" w:hAnsiTheme="minorEastAsia" w:hint="eastAsia"/>
                <w:color w:val="000000" w:themeColor="text1"/>
                <w:sz w:val="18"/>
                <w:szCs w:val="21"/>
                <w:vertAlign w:val="superscript"/>
              </w:rPr>
              <w:t>※１</w:t>
            </w:r>
          </w:p>
        </w:tc>
      </w:tr>
      <w:tr w:rsidR="004B67F8" w:rsidRPr="00747E9C" w14:paraId="00A7F2B3" w14:textId="77777777" w:rsidTr="00BD02FE">
        <w:trPr>
          <w:trHeight w:val="333"/>
        </w:trPr>
        <w:tc>
          <w:tcPr>
            <w:tcW w:w="4788" w:type="dxa"/>
            <w:vMerge/>
            <w:vAlign w:val="center"/>
          </w:tcPr>
          <w:p w14:paraId="109CB16B" w14:textId="77777777" w:rsidR="004B67F8" w:rsidRPr="00747E9C" w:rsidRDefault="004B67F8" w:rsidP="004A2B6E">
            <w:pPr>
              <w:jc w:val="center"/>
              <w:rPr>
                <w:rFonts w:asciiTheme="minorEastAsia" w:hAnsiTheme="minorEastAsia"/>
                <w:color w:val="000000" w:themeColor="text1"/>
                <w:sz w:val="18"/>
                <w:szCs w:val="21"/>
              </w:rPr>
            </w:pPr>
          </w:p>
        </w:tc>
        <w:tc>
          <w:tcPr>
            <w:tcW w:w="3864" w:type="dxa"/>
            <w:vAlign w:val="center"/>
          </w:tcPr>
          <w:p w14:paraId="664F060C" w14:textId="404F71E2" w:rsidR="004B67F8" w:rsidRPr="00747E9C" w:rsidRDefault="004B67F8"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プラチナえるぼし</w:t>
            </w:r>
            <w:r w:rsidR="00B11464" w:rsidRPr="00747E9C">
              <w:rPr>
                <w:rFonts w:asciiTheme="minorEastAsia" w:hAnsiTheme="minorEastAsia" w:hint="eastAsia"/>
                <w:color w:val="000000" w:themeColor="text1"/>
                <w:sz w:val="18"/>
                <w:szCs w:val="21"/>
                <w:vertAlign w:val="superscript"/>
              </w:rPr>
              <w:t>※２</w:t>
            </w:r>
          </w:p>
        </w:tc>
      </w:tr>
      <w:tr w:rsidR="004A2B6E" w:rsidRPr="00747E9C" w14:paraId="1DDCCC18" w14:textId="77777777" w:rsidTr="00BD02FE">
        <w:trPr>
          <w:trHeight w:val="333"/>
        </w:trPr>
        <w:tc>
          <w:tcPr>
            <w:tcW w:w="4788" w:type="dxa"/>
            <w:vMerge/>
            <w:vAlign w:val="center"/>
          </w:tcPr>
          <w:p w14:paraId="42174F37"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1346CABF" w14:textId="046A6C8F"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行動計画</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３</w:t>
            </w:r>
          </w:p>
        </w:tc>
      </w:tr>
      <w:tr w:rsidR="004A2B6E" w:rsidRPr="00747E9C" w14:paraId="172DAE84" w14:textId="77777777" w:rsidTr="00BD02FE">
        <w:trPr>
          <w:trHeight w:val="320"/>
        </w:trPr>
        <w:tc>
          <w:tcPr>
            <w:tcW w:w="4788" w:type="dxa"/>
            <w:vMerge w:val="restart"/>
            <w:vAlign w:val="center"/>
          </w:tcPr>
          <w:p w14:paraId="3A8E6BDE"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次世代法に基づく認定</w:t>
            </w:r>
          </w:p>
          <w:p w14:paraId="04CCF181" w14:textId="1CD7195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・プラチナくるみん認定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c>
          <w:tcPr>
            <w:tcW w:w="3864" w:type="dxa"/>
            <w:vAlign w:val="center"/>
          </w:tcPr>
          <w:p w14:paraId="45598AC6" w14:textId="01D3515E"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くるみん（旧基準）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４</w:t>
            </w:r>
          </w:p>
        </w:tc>
      </w:tr>
      <w:tr w:rsidR="004A2B6E" w:rsidRPr="00747E9C" w14:paraId="21569CB3" w14:textId="77777777" w:rsidTr="00BD02FE">
        <w:trPr>
          <w:trHeight w:val="333"/>
        </w:trPr>
        <w:tc>
          <w:tcPr>
            <w:tcW w:w="4788" w:type="dxa"/>
            <w:vMerge/>
            <w:vAlign w:val="center"/>
          </w:tcPr>
          <w:p w14:paraId="4E8CB699"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0745F1B7" w14:textId="22E525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くるみん（新基準）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５</w:t>
            </w:r>
          </w:p>
        </w:tc>
      </w:tr>
      <w:tr w:rsidR="004A2B6E" w:rsidRPr="00747E9C" w14:paraId="723D0862" w14:textId="77777777" w:rsidTr="00BD02FE">
        <w:trPr>
          <w:trHeight w:val="333"/>
        </w:trPr>
        <w:tc>
          <w:tcPr>
            <w:tcW w:w="4788" w:type="dxa"/>
            <w:vMerge/>
            <w:vAlign w:val="center"/>
          </w:tcPr>
          <w:p w14:paraId="12C640BE"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5AAE77F6"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プラチナくるみん</w:t>
            </w:r>
          </w:p>
        </w:tc>
      </w:tr>
      <w:tr w:rsidR="004A2B6E" w:rsidRPr="00747E9C" w14:paraId="1C88DA66" w14:textId="77777777" w:rsidTr="00BD02FE">
        <w:trPr>
          <w:trHeight w:val="626"/>
        </w:trPr>
        <w:tc>
          <w:tcPr>
            <w:tcW w:w="8652" w:type="dxa"/>
            <w:gridSpan w:val="2"/>
            <w:vAlign w:val="center"/>
          </w:tcPr>
          <w:p w14:paraId="2A7786A6"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若者雇用促進法に基づく認定</w:t>
            </w:r>
          </w:p>
          <w:p w14:paraId="46754946" w14:textId="1E908A7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（ユースエール認定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r>
    </w:tbl>
    <w:p w14:paraId="492F37F9" w14:textId="77777777" w:rsidR="004A2B6E" w:rsidRPr="00747E9C" w:rsidRDefault="004A2B6E" w:rsidP="004A2B6E">
      <w:pPr>
        <w:jc w:val="left"/>
        <w:rPr>
          <w:rFonts w:asciiTheme="minorEastAsia" w:hAnsiTheme="minorEastAsia"/>
          <w:color w:val="000000" w:themeColor="text1"/>
          <w:sz w:val="18"/>
          <w:szCs w:val="21"/>
        </w:rPr>
      </w:pPr>
    </w:p>
    <w:p w14:paraId="338318C9" w14:textId="77777777" w:rsidR="004A2B6E" w:rsidRPr="00747E9C" w:rsidRDefault="004A2B6E" w:rsidP="004A2B6E">
      <w:pPr>
        <w:jc w:val="left"/>
        <w:rPr>
          <w:rFonts w:asciiTheme="minorEastAsia" w:hAnsiTheme="minorEastAsia"/>
          <w:color w:val="000000" w:themeColor="text1"/>
          <w:sz w:val="18"/>
          <w:szCs w:val="21"/>
        </w:rPr>
      </w:pPr>
    </w:p>
    <w:p w14:paraId="475A9BE1" w14:textId="77777777" w:rsidR="004A2B6E" w:rsidRPr="00747E9C" w:rsidRDefault="004A2B6E" w:rsidP="00CD7FA9">
      <w:pPr>
        <w:jc w:val="left"/>
        <w:rPr>
          <w:rFonts w:asciiTheme="minorEastAsia" w:hAnsiTheme="minorEastAsia"/>
          <w:color w:val="000000" w:themeColor="text1"/>
          <w:sz w:val="18"/>
          <w:szCs w:val="21"/>
        </w:rPr>
      </w:pPr>
    </w:p>
    <w:p w14:paraId="7A1ADDCD" w14:textId="77777777" w:rsidR="004A2B6E" w:rsidRPr="00747E9C" w:rsidRDefault="004A2B6E" w:rsidP="00CD7FA9">
      <w:pPr>
        <w:jc w:val="left"/>
        <w:rPr>
          <w:rFonts w:asciiTheme="minorEastAsia" w:hAnsiTheme="minorEastAsia"/>
          <w:color w:val="000000" w:themeColor="text1"/>
          <w:sz w:val="18"/>
          <w:szCs w:val="21"/>
        </w:rPr>
      </w:pPr>
    </w:p>
    <w:p w14:paraId="73BC0438" w14:textId="77777777" w:rsidR="004A2B6E" w:rsidRPr="00747E9C" w:rsidRDefault="004A2B6E" w:rsidP="00CD7FA9">
      <w:pPr>
        <w:jc w:val="left"/>
        <w:rPr>
          <w:rFonts w:asciiTheme="minorEastAsia" w:hAnsiTheme="minorEastAsia"/>
          <w:color w:val="000000" w:themeColor="text1"/>
          <w:sz w:val="18"/>
          <w:szCs w:val="21"/>
        </w:rPr>
      </w:pPr>
    </w:p>
    <w:p w14:paraId="0EFAD733" w14:textId="77777777" w:rsidR="004A2B6E" w:rsidRPr="00747E9C" w:rsidRDefault="004A2B6E" w:rsidP="00CD7FA9">
      <w:pPr>
        <w:jc w:val="left"/>
        <w:rPr>
          <w:rFonts w:asciiTheme="minorEastAsia" w:hAnsiTheme="minorEastAsia"/>
          <w:color w:val="000000" w:themeColor="text1"/>
          <w:sz w:val="18"/>
          <w:szCs w:val="21"/>
        </w:rPr>
      </w:pPr>
    </w:p>
    <w:p w14:paraId="481E86EF" w14:textId="77777777" w:rsidR="004A2B6E" w:rsidRPr="00747E9C" w:rsidRDefault="004A2B6E" w:rsidP="00CD7FA9">
      <w:pPr>
        <w:jc w:val="left"/>
        <w:rPr>
          <w:rFonts w:asciiTheme="minorEastAsia" w:hAnsiTheme="minorEastAsia"/>
          <w:color w:val="000000" w:themeColor="text1"/>
          <w:sz w:val="18"/>
          <w:szCs w:val="21"/>
        </w:rPr>
      </w:pPr>
    </w:p>
    <w:p w14:paraId="562B5CA2" w14:textId="77777777" w:rsidR="004A2B6E" w:rsidRPr="00747E9C" w:rsidRDefault="004A2B6E" w:rsidP="00CD7FA9">
      <w:pPr>
        <w:jc w:val="left"/>
        <w:rPr>
          <w:rFonts w:asciiTheme="minorEastAsia" w:hAnsiTheme="minorEastAsia"/>
          <w:color w:val="000000" w:themeColor="text1"/>
          <w:sz w:val="18"/>
          <w:szCs w:val="21"/>
        </w:rPr>
      </w:pPr>
    </w:p>
    <w:p w14:paraId="588D9C93" w14:textId="77777777" w:rsidR="004A2B6E" w:rsidRPr="00747E9C" w:rsidRDefault="004A2B6E" w:rsidP="00CD7FA9">
      <w:pPr>
        <w:jc w:val="left"/>
        <w:rPr>
          <w:rFonts w:asciiTheme="minorEastAsia" w:hAnsiTheme="minorEastAsia"/>
          <w:color w:val="000000" w:themeColor="text1"/>
          <w:sz w:val="18"/>
          <w:szCs w:val="21"/>
        </w:rPr>
      </w:pPr>
    </w:p>
    <w:p w14:paraId="4BBC988E" w14:textId="77777777" w:rsidR="004A2B6E" w:rsidRPr="00747E9C" w:rsidRDefault="004A2B6E" w:rsidP="00CD7FA9">
      <w:pPr>
        <w:jc w:val="left"/>
        <w:rPr>
          <w:rFonts w:asciiTheme="minorEastAsia" w:hAnsiTheme="minorEastAsia"/>
          <w:color w:val="000000" w:themeColor="text1"/>
          <w:sz w:val="18"/>
          <w:szCs w:val="21"/>
        </w:rPr>
      </w:pPr>
    </w:p>
    <w:p w14:paraId="1D3561AB" w14:textId="77777777" w:rsidR="004A2B6E" w:rsidRPr="00747E9C" w:rsidRDefault="004A2B6E" w:rsidP="00CD7FA9">
      <w:pPr>
        <w:jc w:val="left"/>
        <w:rPr>
          <w:rFonts w:asciiTheme="minorEastAsia" w:hAnsiTheme="minorEastAsia"/>
          <w:color w:val="000000" w:themeColor="text1"/>
          <w:sz w:val="18"/>
          <w:szCs w:val="21"/>
        </w:rPr>
      </w:pPr>
    </w:p>
    <w:p w14:paraId="182CC93C" w14:textId="36395DE8" w:rsidR="004B67F8" w:rsidRPr="00747E9C" w:rsidRDefault="004B67F8" w:rsidP="00CD7FA9">
      <w:pPr>
        <w:jc w:val="left"/>
        <w:rPr>
          <w:rFonts w:asciiTheme="minorEastAsia" w:hAnsiTheme="minorEastAsia"/>
          <w:color w:val="000000" w:themeColor="text1"/>
          <w:sz w:val="18"/>
          <w:szCs w:val="21"/>
        </w:rPr>
      </w:pPr>
    </w:p>
    <w:p w14:paraId="23F0AE0C" w14:textId="08FD21DA" w:rsidR="004A2B6E" w:rsidRPr="0017640A" w:rsidRDefault="004A2B6E" w:rsidP="00CD7FA9">
      <w:pPr>
        <w:ind w:leftChars="270" w:left="567"/>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※１　</w:t>
      </w:r>
      <w:r w:rsidR="00B11464" w:rsidRPr="0017640A">
        <w:rPr>
          <w:rFonts w:asciiTheme="minorEastAsia" w:eastAsiaTheme="minorEastAsia" w:hAnsiTheme="minorEastAsia" w:hint="eastAsia"/>
          <w:color w:val="000000" w:themeColor="text1"/>
          <w:sz w:val="18"/>
          <w:szCs w:val="21"/>
        </w:rPr>
        <w:t>女性活躍推進法第</w:t>
      </w:r>
      <w:r w:rsidR="0017640A">
        <w:rPr>
          <w:rFonts w:asciiTheme="minorEastAsia" w:eastAsiaTheme="minorEastAsia" w:hAnsiTheme="minorEastAsia" w:hint="eastAsia"/>
          <w:color w:val="000000" w:themeColor="text1"/>
          <w:sz w:val="18"/>
          <w:szCs w:val="21"/>
        </w:rPr>
        <w:t>9</w:t>
      </w:r>
      <w:r w:rsidR="00B11464" w:rsidRPr="0017640A">
        <w:rPr>
          <w:rFonts w:asciiTheme="minorEastAsia" w:eastAsiaTheme="minorEastAsia" w:hAnsiTheme="minorEastAsia" w:hint="eastAsia"/>
          <w:color w:val="000000" w:themeColor="text1"/>
          <w:sz w:val="18"/>
          <w:szCs w:val="21"/>
        </w:rPr>
        <w:t>条に基づく認定。なお、労働時間等の働き方に係る基準は満たすことが必要。</w:t>
      </w:r>
    </w:p>
    <w:p w14:paraId="6351BC6D" w14:textId="7E5A26F6" w:rsidR="004A2B6E" w:rsidRPr="0017640A" w:rsidRDefault="004A2B6E" w:rsidP="00CD7FA9">
      <w:pPr>
        <w:ind w:leftChars="270" w:left="1107" w:hangingChars="300" w:hanging="54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※２　</w:t>
      </w:r>
      <w:r w:rsidR="00B11464" w:rsidRPr="0017640A">
        <w:rPr>
          <w:rFonts w:asciiTheme="minorEastAsia" w:eastAsiaTheme="minorEastAsia" w:hAnsiTheme="minorEastAsia" w:hint="eastAsia"/>
          <w:color w:val="000000" w:themeColor="text1"/>
          <w:sz w:val="18"/>
          <w:szCs w:val="21"/>
        </w:rPr>
        <w:t>女性の職業生活における活躍の推進に関する法律等の一部を改正する法律 (令和元年法第24 号)による改正後の女性活躍推進法第12 条に基づく認定</w:t>
      </w:r>
    </w:p>
    <w:p w14:paraId="51B69908" w14:textId="23A20003" w:rsidR="004A2B6E" w:rsidRPr="0017640A" w:rsidRDefault="004A2B6E" w:rsidP="00CD7FA9">
      <w:pPr>
        <w:ind w:leftChars="270" w:left="567"/>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※３　</w:t>
      </w:r>
      <w:r w:rsidR="00B11464" w:rsidRPr="0017640A">
        <w:rPr>
          <w:rFonts w:asciiTheme="minorEastAsia" w:eastAsiaTheme="minorEastAsia" w:hAnsiTheme="minorEastAsia" w:hint="eastAsia"/>
          <w:color w:val="000000" w:themeColor="text1"/>
          <w:spacing w:val="-10"/>
          <w:sz w:val="18"/>
          <w:szCs w:val="21"/>
        </w:rPr>
        <w:t>常時雇用する労働者の数が300 人以下の事業主に限る（計画期間が満了していない行動計画を策定している場合のみ）。</w:t>
      </w:r>
    </w:p>
    <w:p w14:paraId="64F3CE72" w14:textId="47DF4E11" w:rsidR="00B11464" w:rsidRPr="0017640A" w:rsidRDefault="004A2B6E" w:rsidP="00CD7FA9">
      <w:pPr>
        <w:ind w:leftChars="270" w:left="1107" w:hangingChars="300" w:hanging="54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※４　</w:t>
      </w:r>
      <w:r w:rsidR="00B11464" w:rsidRPr="0017640A">
        <w:rPr>
          <w:rFonts w:asciiTheme="minorEastAsia" w:eastAsiaTheme="minorEastAsia" w:hAnsiTheme="minorEastAsia" w:hint="eastAsia"/>
          <w:color w:val="000000" w:themeColor="text1"/>
          <w:sz w:val="18"/>
          <w:szCs w:val="21"/>
        </w:rPr>
        <w:t>次世代育成支援対策推進法施行規則等の一部を改正する省令による改正前の認定基準又は同附則第</w:t>
      </w:r>
      <w:r w:rsidR="0017640A">
        <w:rPr>
          <w:rFonts w:asciiTheme="minorEastAsia" w:eastAsiaTheme="minorEastAsia" w:hAnsiTheme="minorEastAsia" w:hint="eastAsia"/>
          <w:color w:val="000000" w:themeColor="text1"/>
          <w:sz w:val="18"/>
          <w:szCs w:val="21"/>
        </w:rPr>
        <w:t>2</w:t>
      </w:r>
      <w:r w:rsidR="00B11464" w:rsidRPr="0017640A">
        <w:rPr>
          <w:rFonts w:asciiTheme="minorEastAsia" w:eastAsiaTheme="minorEastAsia" w:hAnsiTheme="minorEastAsia" w:hint="eastAsia"/>
          <w:color w:val="000000" w:themeColor="text1"/>
          <w:sz w:val="18"/>
          <w:szCs w:val="21"/>
        </w:rPr>
        <w:t>条第</w:t>
      </w:r>
      <w:r w:rsidR="0017640A">
        <w:rPr>
          <w:rFonts w:asciiTheme="minorEastAsia" w:eastAsiaTheme="minorEastAsia" w:hAnsiTheme="minorEastAsia" w:hint="eastAsia"/>
          <w:color w:val="000000" w:themeColor="text1"/>
          <w:sz w:val="18"/>
          <w:szCs w:val="21"/>
        </w:rPr>
        <w:t>3</w:t>
      </w:r>
      <w:r w:rsidR="00B11464" w:rsidRPr="0017640A">
        <w:rPr>
          <w:rFonts w:asciiTheme="minorEastAsia" w:eastAsiaTheme="minorEastAsia" w:hAnsiTheme="minorEastAsia" w:hint="eastAsia"/>
          <w:color w:val="000000" w:themeColor="text1"/>
          <w:sz w:val="18"/>
          <w:szCs w:val="21"/>
        </w:rPr>
        <w:t>項の規定による経過措置に基づく認定</w:t>
      </w:r>
    </w:p>
    <w:p w14:paraId="6519B646" w14:textId="4FD6FE09" w:rsidR="004A2B6E" w:rsidRPr="00CD7FA9" w:rsidRDefault="00B11464" w:rsidP="00CD7FA9">
      <w:pPr>
        <w:ind w:leftChars="270" w:left="1107" w:hangingChars="300" w:hanging="54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※５　</w:t>
      </w:r>
      <w:r w:rsidRPr="00CD7FA9">
        <w:rPr>
          <w:rFonts w:asciiTheme="minorEastAsia" w:eastAsiaTheme="minorEastAsia" w:hAnsiTheme="minorEastAsia" w:hint="eastAsia"/>
          <w:color w:val="000000" w:themeColor="text1"/>
          <w:sz w:val="18"/>
          <w:szCs w:val="21"/>
        </w:rPr>
        <w:t>次世代育成支援対策推進法施行規則等の一部を改正する省令（平成29 年厚生労働省令第31 号）による改正後の認定基準に基づく認定</w:t>
      </w:r>
    </w:p>
    <w:p w14:paraId="3C8FF59A" w14:textId="209CE521" w:rsidR="004A2B6E" w:rsidRPr="00747E9C" w:rsidRDefault="004A2B6E">
      <w:pPr>
        <w:widowControl/>
        <w:jc w:val="left"/>
        <w:rPr>
          <w:color w:val="000000" w:themeColor="text1"/>
          <w:szCs w:val="21"/>
        </w:rPr>
      </w:pPr>
    </w:p>
    <w:sectPr w:rsidR="004A2B6E"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6E21595"/>
    <w:multiLevelType w:val="hybridMultilevel"/>
    <w:tmpl w:val="72E8C24A"/>
    <w:lvl w:ilvl="0" w:tplc="FFFFFFFF">
      <w:start w:val="1"/>
      <w:numFmt w:val="decimal"/>
      <w:lvlText w:val="(%1)"/>
      <w:lvlJc w:val="left"/>
      <w:pPr>
        <w:ind w:left="780" w:hanging="420"/>
      </w:pPr>
      <w:rPr>
        <w:rFonts w:asciiTheme="minorEastAsia" w:eastAsiaTheme="minorEastAsia" w:hAnsiTheme="minorEastAsia" w:cs="Times New Roman" w:hint="eastAsia"/>
        <w:b w:val="0"/>
      </w:rPr>
    </w:lvl>
    <w:lvl w:ilvl="1" w:tplc="FFFFFFFF" w:tentative="1">
      <w:start w:val="1"/>
      <w:numFmt w:val="aiueoFullWidth"/>
      <w:lvlText w:val="(%2)"/>
      <w:lvlJc w:val="left"/>
      <w:pPr>
        <w:ind w:left="1200" w:hanging="420"/>
      </w:pPr>
      <w:rPr>
        <w:rFonts w:cs="Times New Roman"/>
      </w:rPr>
    </w:lvl>
    <w:lvl w:ilvl="2" w:tplc="FFFFFFFF" w:tentative="1">
      <w:start w:val="1"/>
      <w:numFmt w:val="decimalEnclosedCircle"/>
      <w:lvlText w:val="%3"/>
      <w:lvlJc w:val="left"/>
      <w:pPr>
        <w:ind w:left="1620" w:hanging="420"/>
      </w:pPr>
      <w:rPr>
        <w:rFonts w:cs="Times New Roman"/>
      </w:rPr>
    </w:lvl>
    <w:lvl w:ilvl="3" w:tplc="FFFFFFFF" w:tentative="1">
      <w:start w:val="1"/>
      <w:numFmt w:val="decimal"/>
      <w:lvlText w:val="%4."/>
      <w:lvlJc w:val="left"/>
      <w:pPr>
        <w:ind w:left="2040" w:hanging="420"/>
      </w:pPr>
      <w:rPr>
        <w:rFonts w:cs="Times New Roman"/>
      </w:rPr>
    </w:lvl>
    <w:lvl w:ilvl="4" w:tplc="FFFFFFFF" w:tentative="1">
      <w:start w:val="1"/>
      <w:numFmt w:val="aiueoFullWidth"/>
      <w:lvlText w:val="(%5)"/>
      <w:lvlJc w:val="left"/>
      <w:pPr>
        <w:ind w:left="2460" w:hanging="420"/>
      </w:pPr>
      <w:rPr>
        <w:rFonts w:cs="Times New Roman"/>
      </w:rPr>
    </w:lvl>
    <w:lvl w:ilvl="5" w:tplc="FFFFFFFF" w:tentative="1">
      <w:start w:val="1"/>
      <w:numFmt w:val="decimalEnclosedCircle"/>
      <w:lvlText w:val="%6"/>
      <w:lvlJc w:val="left"/>
      <w:pPr>
        <w:ind w:left="2880" w:hanging="420"/>
      </w:pPr>
      <w:rPr>
        <w:rFonts w:cs="Times New Roman"/>
      </w:rPr>
    </w:lvl>
    <w:lvl w:ilvl="6" w:tplc="FFFFFFFF" w:tentative="1">
      <w:start w:val="1"/>
      <w:numFmt w:val="decimal"/>
      <w:lvlText w:val="%7."/>
      <w:lvlJc w:val="left"/>
      <w:pPr>
        <w:ind w:left="3300" w:hanging="420"/>
      </w:pPr>
      <w:rPr>
        <w:rFonts w:cs="Times New Roman"/>
      </w:rPr>
    </w:lvl>
    <w:lvl w:ilvl="7" w:tplc="FFFFFFFF" w:tentative="1">
      <w:start w:val="1"/>
      <w:numFmt w:val="aiueoFullWidth"/>
      <w:lvlText w:val="(%8)"/>
      <w:lvlJc w:val="left"/>
      <w:pPr>
        <w:ind w:left="3720" w:hanging="420"/>
      </w:pPr>
      <w:rPr>
        <w:rFonts w:cs="Times New Roman"/>
      </w:rPr>
    </w:lvl>
    <w:lvl w:ilvl="8" w:tplc="FFFFFFFF" w:tentative="1">
      <w:start w:val="1"/>
      <w:numFmt w:val="decimalEnclosedCircle"/>
      <w:lvlText w:val="%9"/>
      <w:lvlJc w:val="left"/>
      <w:pPr>
        <w:ind w:left="4140" w:hanging="420"/>
      </w:pPr>
      <w:rPr>
        <w:rFonts w:cs="Times New Roman"/>
      </w:rPr>
    </w:lvl>
  </w:abstractNum>
  <w:abstractNum w:abstractNumId="47"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8"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848174068">
    <w:abstractNumId w:val="34"/>
  </w:num>
  <w:num w:numId="2" w16cid:durableId="1845507577">
    <w:abstractNumId w:val="12"/>
  </w:num>
  <w:num w:numId="3" w16cid:durableId="144008405">
    <w:abstractNumId w:val="9"/>
  </w:num>
  <w:num w:numId="4" w16cid:durableId="343552595">
    <w:abstractNumId w:val="7"/>
  </w:num>
  <w:num w:numId="5" w16cid:durableId="870071954">
    <w:abstractNumId w:val="6"/>
  </w:num>
  <w:num w:numId="6" w16cid:durableId="579103314">
    <w:abstractNumId w:val="5"/>
  </w:num>
  <w:num w:numId="7" w16cid:durableId="2068607037">
    <w:abstractNumId w:val="4"/>
  </w:num>
  <w:num w:numId="8" w16cid:durableId="695235587">
    <w:abstractNumId w:val="8"/>
  </w:num>
  <w:num w:numId="9" w16cid:durableId="599870051">
    <w:abstractNumId w:val="3"/>
  </w:num>
  <w:num w:numId="10" w16cid:durableId="1274937628">
    <w:abstractNumId w:val="2"/>
  </w:num>
  <w:num w:numId="11" w16cid:durableId="1992102864">
    <w:abstractNumId w:val="1"/>
  </w:num>
  <w:num w:numId="12" w16cid:durableId="612980453">
    <w:abstractNumId w:val="0"/>
  </w:num>
  <w:num w:numId="13" w16cid:durableId="732002416">
    <w:abstractNumId w:val="14"/>
  </w:num>
  <w:num w:numId="14" w16cid:durableId="1101488037">
    <w:abstractNumId w:val="35"/>
  </w:num>
  <w:num w:numId="15" w16cid:durableId="22637737">
    <w:abstractNumId w:val="24"/>
  </w:num>
  <w:num w:numId="16" w16cid:durableId="972642017">
    <w:abstractNumId w:val="30"/>
  </w:num>
  <w:num w:numId="17" w16cid:durableId="1863274694">
    <w:abstractNumId w:val="45"/>
  </w:num>
  <w:num w:numId="18" w16cid:durableId="836265279">
    <w:abstractNumId w:val="23"/>
  </w:num>
  <w:num w:numId="19" w16cid:durableId="2044206168">
    <w:abstractNumId w:val="26"/>
  </w:num>
  <w:num w:numId="20" w16cid:durableId="90904499">
    <w:abstractNumId w:val="31"/>
  </w:num>
  <w:num w:numId="21" w16cid:durableId="1574388092">
    <w:abstractNumId w:val="38"/>
  </w:num>
  <w:num w:numId="22" w16cid:durableId="212472763">
    <w:abstractNumId w:val="48"/>
  </w:num>
  <w:num w:numId="23" w16cid:durableId="249899079">
    <w:abstractNumId w:val="29"/>
  </w:num>
  <w:num w:numId="24" w16cid:durableId="1174028961">
    <w:abstractNumId w:val="13"/>
  </w:num>
  <w:num w:numId="25" w16cid:durableId="1870141470">
    <w:abstractNumId w:val="11"/>
  </w:num>
  <w:num w:numId="26" w16cid:durableId="2029133389">
    <w:abstractNumId w:val="44"/>
  </w:num>
  <w:num w:numId="27" w16cid:durableId="319429927">
    <w:abstractNumId w:val="36"/>
  </w:num>
  <w:num w:numId="28" w16cid:durableId="1558321269">
    <w:abstractNumId w:val="19"/>
  </w:num>
  <w:num w:numId="29" w16cid:durableId="1418357722">
    <w:abstractNumId w:val="37"/>
  </w:num>
  <w:num w:numId="30" w16cid:durableId="724763295">
    <w:abstractNumId w:val="33"/>
  </w:num>
  <w:num w:numId="31" w16cid:durableId="627930770">
    <w:abstractNumId w:val="41"/>
  </w:num>
  <w:num w:numId="32" w16cid:durableId="298651378">
    <w:abstractNumId w:val="22"/>
  </w:num>
  <w:num w:numId="33" w16cid:durableId="242951391">
    <w:abstractNumId w:val="25"/>
  </w:num>
  <w:num w:numId="34" w16cid:durableId="1811164122">
    <w:abstractNumId w:val="16"/>
  </w:num>
  <w:num w:numId="35" w16cid:durableId="1843469809">
    <w:abstractNumId w:val="39"/>
  </w:num>
  <w:num w:numId="36" w16cid:durableId="2114354106">
    <w:abstractNumId w:val="42"/>
  </w:num>
  <w:num w:numId="37" w16cid:durableId="1887719192">
    <w:abstractNumId w:val="17"/>
  </w:num>
  <w:num w:numId="38" w16cid:durableId="1416634428">
    <w:abstractNumId w:val="10"/>
  </w:num>
  <w:num w:numId="39" w16cid:durableId="1046955181">
    <w:abstractNumId w:val="15"/>
  </w:num>
  <w:num w:numId="40" w16cid:durableId="400444328">
    <w:abstractNumId w:val="40"/>
  </w:num>
  <w:num w:numId="41" w16cid:durableId="998001005">
    <w:abstractNumId w:val="20"/>
  </w:num>
  <w:num w:numId="42" w16cid:durableId="1051927085">
    <w:abstractNumId w:val="27"/>
  </w:num>
  <w:num w:numId="43" w16cid:durableId="558901706">
    <w:abstractNumId w:val="21"/>
  </w:num>
  <w:num w:numId="44" w16cid:durableId="1919557574">
    <w:abstractNumId w:val="47"/>
  </w:num>
  <w:num w:numId="45" w16cid:durableId="2072578238">
    <w:abstractNumId w:val="32"/>
  </w:num>
  <w:num w:numId="46" w16cid:durableId="1453788673">
    <w:abstractNumId w:val="28"/>
  </w:num>
  <w:num w:numId="47" w16cid:durableId="1875774294">
    <w:abstractNumId w:val="43"/>
  </w:num>
  <w:num w:numId="48" w16cid:durableId="871267060">
    <w:abstractNumId w:val="18"/>
  </w:num>
  <w:num w:numId="49" w16cid:durableId="689382081">
    <w:abstractNumId w:val="4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2324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0310"/>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03A"/>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141C"/>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4186"/>
    <w:rsid w:val="007250FF"/>
    <w:rsid w:val="0072511B"/>
    <w:rsid w:val="00725A3E"/>
    <w:rsid w:val="00726A91"/>
    <w:rsid w:val="00726EED"/>
    <w:rsid w:val="007277FA"/>
    <w:rsid w:val="00731847"/>
    <w:rsid w:val="00731925"/>
    <w:rsid w:val="00731988"/>
    <w:rsid w:val="0073279E"/>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2FA3"/>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7A0"/>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5ED9"/>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1A0B"/>
    <w:rsid w:val="009F2231"/>
    <w:rsid w:val="009F2F80"/>
    <w:rsid w:val="009F41E3"/>
    <w:rsid w:val="009F5A1C"/>
    <w:rsid w:val="009F6670"/>
    <w:rsid w:val="009F6AEF"/>
    <w:rsid w:val="009F74AE"/>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52BA"/>
    <w:rsid w:val="00B9596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D7FA9"/>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27A1"/>
    <w:rsid w:val="00FD5334"/>
    <w:rsid w:val="00FD599C"/>
    <w:rsid w:val="00FD5A40"/>
    <w:rsid w:val="00FD602A"/>
    <w:rsid w:val="00FE113A"/>
    <w:rsid w:val="00FE18B7"/>
    <w:rsid w:val="00FE73C2"/>
    <w:rsid w:val="00FF068F"/>
    <w:rsid w:val="00FF11E4"/>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244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7E79BB"/>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7E79BB"/>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hlw.go.jp/stf/seisakunitsuite/bunya/000009102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1050</Words>
  <Characters>252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1300</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2023-05-30T09:07:00Z</dcterms:created>
  <dcterms:modified xsi:type="dcterms:W3CDTF">2023-06-06T04:57:00Z</dcterms:modified>
</cp:coreProperties>
</file>