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B983A5F" w:rsidR="00BA3DA0" w:rsidRPr="006B544C" w:rsidRDefault="000353C3" w:rsidP="00835F47">
      <w:pPr>
        <w:rPr>
          <w:rFonts w:ascii="ＭＳ 明朝" w:hAnsi="ＭＳ 明朝"/>
        </w:rPr>
      </w:pPr>
      <w:r>
        <w:rPr>
          <w:rFonts w:ascii="ＭＳ 明朝" w:hAnsi="ＭＳ 明朝" w:hint="eastAsia"/>
        </w:rPr>
        <w:t>－</w:t>
      </w:r>
      <w:r w:rsidR="00BD73DB"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79C347B" w14:textId="77777777" w:rsidR="0007791E" w:rsidRPr="005471A3" w:rsidRDefault="0007791E" w:rsidP="0007791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Pr="003070EE">
        <w:rPr>
          <w:rFonts w:asciiTheme="minorEastAsia" w:eastAsiaTheme="minorEastAsia" w:hAnsiTheme="minorEastAsia" w:cs="Arial" w:hint="eastAsia"/>
          <w:noProof/>
          <w:sz w:val="32"/>
        </w:rPr>
        <w:t>グリーンイノベーション基金事業／</w:t>
      </w:r>
      <w:r w:rsidRPr="007D42DF">
        <w:rPr>
          <w:rFonts w:asciiTheme="minorEastAsia" w:eastAsiaTheme="minorEastAsia" w:hAnsiTheme="minorEastAsia" w:cs="Arial" w:hint="eastAsia"/>
          <w:noProof/>
          <w:sz w:val="32"/>
        </w:rPr>
        <w:t>次世代グリーンパワー半導体開発に関する調査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0A8BEF5" w14:textId="77777777" w:rsidR="0007791E" w:rsidRPr="003070EE" w:rsidRDefault="0007791E" w:rsidP="0007791E">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r w:rsidRPr="003070EE">
        <w:rPr>
          <w:rFonts w:asciiTheme="minorEastAsia" w:eastAsiaTheme="minorEastAsia" w:hAnsiTheme="minorEastAsia" w:hint="eastAsia"/>
        </w:rPr>
        <w:t>グリーンイノベーション基金事業／</w:t>
      </w:r>
      <w:r w:rsidRPr="007D42DF">
        <w:rPr>
          <w:rFonts w:asciiTheme="minorEastAsia" w:eastAsiaTheme="minorEastAsia" w:hAnsiTheme="minorEastAsia" w:hint="eastAsia"/>
        </w:rPr>
        <w:t>次世代グリーンパワー半導体開発に関する調査</w:t>
      </w:r>
      <w:r w:rsidRPr="003070EE">
        <w:rPr>
          <w:rFonts w:asciiTheme="minorEastAsia" w:eastAsiaTheme="minorEastAsia" w:hAnsiTheme="minorEastAsia" w:cs="Arial" w:hint="eastAsia"/>
          <w:noProof/>
        </w:rPr>
        <w:t>」</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7D44E7A0" w14:textId="77777777" w:rsidR="0007791E" w:rsidRPr="005471A3" w:rsidRDefault="0007791E" w:rsidP="0007791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046B6C">
        <w:rPr>
          <w:rFonts w:asciiTheme="minorEastAsia" w:eastAsiaTheme="minorEastAsia" w:hAnsiTheme="minorEastAsia" w:hint="eastAsia"/>
          <w:b/>
          <w:bCs/>
        </w:rPr>
        <w:t>グリーンイノベーション基金事業／</w:t>
      </w:r>
      <w:r w:rsidRPr="001E423B">
        <w:rPr>
          <w:rFonts w:asciiTheme="minorEastAsia" w:eastAsiaTheme="minorEastAsia" w:hAnsiTheme="minorEastAsia" w:hint="eastAsia"/>
          <w:b/>
          <w:bCs/>
        </w:rPr>
        <w:t>次世代グリーンパワー半導体開発</w:t>
      </w:r>
      <w:r>
        <w:rPr>
          <w:rFonts w:asciiTheme="minorEastAsia" w:eastAsiaTheme="minorEastAsia" w:hAnsiTheme="minorEastAsia" w:hint="eastAsia"/>
          <w:b/>
          <w:bCs/>
        </w:rPr>
        <w:t>」</w:t>
      </w:r>
      <w:r w:rsidRPr="001E423B">
        <w:rPr>
          <w:rFonts w:asciiTheme="minorEastAsia" w:eastAsiaTheme="minorEastAsia" w:hAnsiTheme="minorEastAsia" w:hint="eastAsia"/>
          <w:b/>
          <w:bCs/>
        </w:rPr>
        <w:t>に関する調査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50E25"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3C3"/>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7791E"/>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2441"/>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37A"/>
    <w:rsid w:val="00453508"/>
    <w:rsid w:val="0045362F"/>
    <w:rsid w:val="004536B2"/>
    <w:rsid w:val="0045503A"/>
    <w:rsid w:val="00455578"/>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0AF7"/>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B7E"/>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4A91"/>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F47"/>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25"/>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0687"/>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14</Pages>
  <Words>7250</Words>
  <Characters>1314</Characters>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