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4B0A9C1B" w:rsidR="00E108D6" w:rsidRPr="001F0D7D" w:rsidRDefault="00E108D6" w:rsidP="00155AAF">
                            <w:pPr>
                              <w:pStyle w:val="aff2"/>
                              <w:rPr>
                                <w:sz w:val="24"/>
                              </w:rPr>
                            </w:pPr>
                            <w:r w:rsidRPr="001F0D7D">
                              <w:rPr>
                                <w:rFonts w:hint="eastAsia"/>
                                <w:sz w:val="24"/>
                              </w:rPr>
                              <w:t>別添</w:t>
                            </w:r>
                            <w:r w:rsidR="0011158B">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4B0A9C1B" w:rsidR="00E108D6" w:rsidRPr="001F0D7D" w:rsidRDefault="00E108D6" w:rsidP="00155AAF">
                      <w:pPr>
                        <w:pStyle w:val="aff2"/>
                        <w:rPr>
                          <w:sz w:val="24"/>
                        </w:rPr>
                      </w:pPr>
                      <w:r w:rsidRPr="001F0D7D">
                        <w:rPr>
                          <w:rFonts w:hint="eastAsia"/>
                          <w:sz w:val="24"/>
                        </w:rPr>
                        <w:t>別添</w:t>
                      </w:r>
                      <w:r w:rsidR="0011158B">
                        <w:rPr>
                          <w:rFonts w:asciiTheme="minorEastAsia" w:eastAsiaTheme="minorEastAsia" w:hAnsiTheme="minorEastAsia" w:hint="eastAsia"/>
                          <w:sz w:val="24"/>
                        </w:rPr>
                        <w:t>２</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1246D8DA" w14:textId="77777777" w:rsidR="00A61B3C"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p>
          <w:p w14:paraId="69B65001" w14:textId="5A0F4269" w:rsidR="004A2B6E" w:rsidRPr="0017640A" w:rsidRDefault="003D6EA0"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（認定が</w:t>
            </w:r>
            <w:r w:rsidRPr="0017640A">
              <w:rPr>
                <w:rFonts w:asciiTheme="minorEastAsia" w:eastAsiaTheme="minorEastAsia" w:hAnsiTheme="minorEastAsia"/>
                <w:color w:val="000000" w:themeColor="text1"/>
                <w:szCs w:val="21"/>
              </w:rPr>
              <w:t>無い場合は</w:t>
            </w:r>
            <w:r w:rsidR="00A61B3C">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szCs w:val="21"/>
              </w:rPr>
              <w:t>無し</w:t>
            </w:r>
            <w:r w:rsidR="00304EBF">
              <w:rPr>
                <w:rFonts w:asciiTheme="minorEastAsia" w:eastAsiaTheme="minorEastAsia" w:hAnsiTheme="minorEastAsia" w:hint="eastAsia"/>
                <w:color w:val="000000" w:themeColor="text1"/>
                <w:szCs w:val="21"/>
              </w:rPr>
              <w:t>」</w:t>
            </w:r>
            <w:r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4B2AC248" w14:textId="7F134A71" w:rsidR="004134B1" w:rsidRDefault="00B11464" w:rsidP="007F3468">
      <w:pPr>
        <w:ind w:leftChars="270" w:left="1170" w:hangingChars="335" w:hanging="603"/>
        <w:jc w:val="left"/>
        <w:rPr>
          <w:color w:val="000000" w:themeColor="text1"/>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w:t>
      </w:r>
      <w:r w:rsidRPr="0017640A">
        <w:rPr>
          <w:rFonts w:asciiTheme="minorEastAsia" w:eastAsiaTheme="minorEastAsia" w:hAnsiTheme="minorEastAsia" w:hint="eastAsia"/>
          <w:color w:val="000000" w:themeColor="text1"/>
          <w:sz w:val="18"/>
          <w:szCs w:val="18"/>
        </w:rPr>
        <w:lastRenderedPageBreak/>
        <w:t>正後の認定基準に基づく認定</w:t>
      </w:r>
    </w:p>
    <w:p w14:paraId="66CB1758" w14:textId="03EBF573" w:rsidR="00B90FD1" w:rsidRPr="00747E9C" w:rsidRDefault="00B90FD1" w:rsidP="007F3468">
      <w:pPr>
        <w:jc w:val="left"/>
        <w:rPr>
          <w:color w:val="000000" w:themeColor="text1"/>
        </w:rPr>
      </w:pPr>
      <w:bookmarkStart w:id="0" w:name="_１３．（参考）中堅・中小・ベンチャー企業の定義"/>
      <w:bookmarkEnd w:id="0"/>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9FFE3FAE"/>
    <w:lvl w:ilvl="0" w:tplc="64A47052">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9"/>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 w:numId="50" w16cid:durableId="1536887945">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549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6F6"/>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02EB"/>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468"/>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59C"/>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3843"/>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49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1052</Words>
  <Characters>257</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