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bookmarkStart w:id="0" w:name="_GoBack"/>
      <w:bookmarkEnd w:id="0"/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（助成事業の名称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01196A53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897741">
        <w:rPr>
          <w:rFonts w:ascii="ＭＳ 明朝" w:hAnsi="ＭＳ 明朝" w:hint="eastAsia"/>
          <w:snapToGrid w:val="0"/>
        </w:rPr>
        <w:t>助成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6E88ABA3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