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4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2831"/>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CED"/>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3CDD"/>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876</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