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69DBE4B4" w:rsidR="00E108D6" w:rsidRPr="001F0D7D" w:rsidRDefault="00E108D6" w:rsidP="00155AAF">
                            <w:pPr>
                              <w:pStyle w:val="aff2"/>
                              <w:rPr>
                                <w:sz w:val="24"/>
                              </w:rPr>
                            </w:pPr>
                            <w:r w:rsidRPr="001F0D7D">
                              <w:rPr>
                                <w:rFonts w:hint="eastAsia"/>
                                <w:sz w:val="24"/>
                              </w:rPr>
                              <w:t>別添</w:t>
                            </w:r>
                            <w:r w:rsidR="007431D7">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69DBE4B4" w:rsidR="00E108D6" w:rsidRPr="001F0D7D" w:rsidRDefault="00E108D6" w:rsidP="00155AAF">
                      <w:pPr>
                        <w:pStyle w:val="aff2"/>
                        <w:rPr>
                          <w:sz w:val="24"/>
                        </w:rPr>
                      </w:pPr>
                      <w:r w:rsidRPr="001F0D7D">
                        <w:rPr>
                          <w:rFonts w:hint="eastAsia"/>
                          <w:sz w:val="24"/>
                        </w:rPr>
                        <w:t>別添</w:t>
                      </w:r>
                      <w:r w:rsidR="007431D7">
                        <w:rPr>
                          <w:rFonts w:asciiTheme="minorEastAsia" w:eastAsiaTheme="minorEastAsia" w:hAnsiTheme="minorEastAsia" w:hint="eastAsia"/>
                          <w:sz w:val="24"/>
                        </w:rPr>
                        <w:t>３</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1C513E">
      <w:pPr>
        <w:spacing w:line="240" w:lineRule="exact"/>
        <w:ind w:leftChars="-67" w:left="283" w:hanging="424"/>
        <w:rPr>
          <w:color w:val="000000" w:themeColor="text1"/>
        </w:rPr>
      </w:pPr>
      <w:r w:rsidRPr="00AC7A3D">
        <w:rPr>
          <w:rFonts w:ascii="ＭＳ 明朝" w:hAnsi="ＭＳ 明朝" w:hint="eastAsia"/>
          <w:sz w:val="18"/>
          <w:szCs w:val="18"/>
        </w:rPr>
        <w:t>※8：次世代法第13条の規定に基づく認定のうち、次世代育成支援対策推進法施行規則等の一部を改正する省令（平成29年</w:t>
      </w:r>
      <w:r w:rsidRPr="00AC7A3D">
        <w:rPr>
          <w:rFonts w:ascii="ＭＳ 明朝" w:hAnsi="ＭＳ 明朝" w:hint="eastAsia"/>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7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5A4A"/>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1D7"/>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5B"/>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2D3D"/>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3FA"/>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9B"/>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72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