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1B86" w14:textId="0C771B46" w:rsidR="00FA742A" w:rsidRPr="0087530E" w:rsidRDefault="00B80455" w:rsidP="004060EC">
      <w:pPr>
        <w:rPr>
          <w:szCs w:val="21"/>
        </w:rPr>
      </w:pPr>
      <w:r w:rsidRPr="00747E9C">
        <w:rPr>
          <w:noProof/>
          <w:color w:val="000000" w:themeColor="text1"/>
        </w:rPr>
        <mc:AlternateContent>
          <mc:Choice Requires="wps">
            <w:drawing>
              <wp:anchor distT="0" distB="0" distL="114300" distR="114300" simplePos="0" relativeHeight="251659264" behindDoc="0" locked="0" layoutInCell="1" allowOverlap="1" wp14:anchorId="5038A545" wp14:editId="533E289A">
                <wp:simplePos x="0" y="0"/>
                <wp:positionH relativeFrom="margin">
                  <wp:posOffset>5448300</wp:posOffset>
                </wp:positionH>
                <wp:positionV relativeFrom="paragraph">
                  <wp:posOffset>-1270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8A545" id="_x0000_t202" coordsize="21600,21600" o:spt="202" path="m,l,21600r21600,l21600,xe">
                <v:stroke joinstyle="miter"/>
                <v:path gradientshapeok="t" o:connecttype="rect"/>
              </v:shapetype>
              <v:shape id="Text Box 111" o:spid="_x0000_s1026" type="#_x0000_t202" style="position:absolute;left:0;text-align:left;margin-left:429pt;margin-top:-.1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">
                <v:textbox style="mso-fit-shape-to-text:t" inset="5.85pt,.7pt,5.85pt,.7pt">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v:textbox>
                <w10:wrap anchorx="margin"/>
              </v:shape>
            </w:pict>
          </mc:Fallback>
        </mc:AlternateContent>
      </w:r>
    </w:p>
    <w:p w14:paraId="630A1B87" w14:textId="25F5938F"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2D048B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450C87">
        <w:rPr>
          <w:rFonts w:asciiTheme="minorEastAsia" w:eastAsiaTheme="minorEastAsia" w:hAnsiTheme="minorEastAsia"/>
          <w:i w:val="0"/>
          <w:iCs/>
          <w:color w:val="auto"/>
        </w:rPr>
        <w:t>7</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5904451">
    <w:abstractNumId w:val="9"/>
  </w:num>
  <w:num w:numId="2" w16cid:durableId="1874881629">
    <w:abstractNumId w:val="7"/>
  </w:num>
  <w:num w:numId="3" w16cid:durableId="744567673">
    <w:abstractNumId w:val="6"/>
  </w:num>
  <w:num w:numId="4" w16cid:durableId="74475965">
    <w:abstractNumId w:val="5"/>
  </w:num>
  <w:num w:numId="5" w16cid:durableId="454569209">
    <w:abstractNumId w:val="4"/>
  </w:num>
  <w:num w:numId="6" w16cid:durableId="1513450317">
    <w:abstractNumId w:val="8"/>
  </w:num>
  <w:num w:numId="7" w16cid:durableId="1710295947">
    <w:abstractNumId w:val="3"/>
  </w:num>
  <w:num w:numId="8" w16cid:durableId="1512984361">
    <w:abstractNumId w:val="2"/>
  </w:num>
  <w:num w:numId="9" w16cid:durableId="904074949">
    <w:abstractNumId w:val="1"/>
  </w:num>
  <w:num w:numId="10" w16cid:durableId="444734840">
    <w:abstractNumId w:val="0"/>
  </w:num>
  <w:num w:numId="11" w16cid:durableId="1538085812">
    <w:abstractNumId w:val="12"/>
  </w:num>
  <w:num w:numId="12" w16cid:durableId="410926790">
    <w:abstractNumId w:val="25"/>
  </w:num>
  <w:num w:numId="13" w16cid:durableId="224293573">
    <w:abstractNumId w:val="31"/>
  </w:num>
  <w:num w:numId="14" w16cid:durableId="47000578">
    <w:abstractNumId w:val="30"/>
  </w:num>
  <w:num w:numId="15" w16cid:durableId="44528402">
    <w:abstractNumId w:val="22"/>
  </w:num>
  <w:num w:numId="16" w16cid:durableId="458112412">
    <w:abstractNumId w:val="29"/>
  </w:num>
  <w:num w:numId="17" w16cid:durableId="925531995">
    <w:abstractNumId w:val="10"/>
  </w:num>
  <w:num w:numId="18" w16cid:durableId="753235911">
    <w:abstractNumId w:val="11"/>
  </w:num>
  <w:num w:numId="19" w16cid:durableId="495801593">
    <w:abstractNumId w:val="34"/>
  </w:num>
  <w:num w:numId="20" w16cid:durableId="1103961609">
    <w:abstractNumId w:val="19"/>
  </w:num>
  <w:num w:numId="21" w16cid:durableId="1879272598">
    <w:abstractNumId w:val="14"/>
  </w:num>
  <w:num w:numId="22" w16cid:durableId="1847207788">
    <w:abstractNumId w:val="15"/>
  </w:num>
  <w:num w:numId="23" w16cid:durableId="238249910">
    <w:abstractNumId w:val="33"/>
  </w:num>
  <w:num w:numId="24" w16cid:durableId="1564097923">
    <w:abstractNumId w:val="28"/>
  </w:num>
  <w:num w:numId="25" w16cid:durableId="2011523914">
    <w:abstractNumId w:val="32"/>
  </w:num>
  <w:num w:numId="26" w16cid:durableId="115568916">
    <w:abstractNumId w:val="37"/>
  </w:num>
  <w:num w:numId="27" w16cid:durableId="1264651598">
    <w:abstractNumId w:val="18"/>
  </w:num>
  <w:num w:numId="28" w16cid:durableId="1639871643">
    <w:abstractNumId w:val="21"/>
  </w:num>
  <w:num w:numId="29" w16cid:durableId="1963917585">
    <w:abstractNumId w:val="26"/>
  </w:num>
  <w:num w:numId="30" w16cid:durableId="1913346787">
    <w:abstractNumId w:val="20"/>
  </w:num>
  <w:num w:numId="31" w16cid:durableId="1253972421">
    <w:abstractNumId w:val="16"/>
  </w:num>
  <w:num w:numId="32" w16cid:durableId="646477372">
    <w:abstractNumId w:val="13"/>
  </w:num>
  <w:num w:numId="33" w16cid:durableId="516820567">
    <w:abstractNumId w:val="17"/>
  </w:num>
  <w:num w:numId="34" w16cid:durableId="899170811">
    <w:abstractNumId w:val="24"/>
  </w:num>
  <w:num w:numId="35" w16cid:durableId="446387690">
    <w:abstractNumId w:val="36"/>
  </w:num>
  <w:num w:numId="36" w16cid:durableId="992561233">
    <w:abstractNumId w:val="27"/>
  </w:num>
  <w:num w:numId="37" w16cid:durableId="143787733">
    <w:abstractNumId w:val="38"/>
  </w:num>
  <w:num w:numId="38" w16cid:durableId="360787249">
    <w:abstractNumId w:val="23"/>
  </w:num>
  <w:num w:numId="39" w16cid:durableId="199452780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1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C87"/>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5E41"/>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3D32"/>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CBE"/>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455"/>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4519"/>
    <w:rsid w:val="00BD5721"/>
    <w:rsid w:val="00BD75C9"/>
    <w:rsid w:val="00BD762E"/>
    <w:rsid w:val="00BE3112"/>
    <w:rsid w:val="00BE32A5"/>
    <w:rsid w:val="00BE3898"/>
    <w:rsid w:val="00BE4D36"/>
    <w:rsid w:val="00BE55FA"/>
    <w:rsid w:val="00BE5A3B"/>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4D0B"/>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B73"/>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1474</Words>
  <Characters>132</Characters>
  <DocSecurity>0</DocSecurity>
  <Lines>1</Lines>
  <Paragraphs>3</Paragraphs>
  <ScaleCrop>false</ScaleCrop>
  <LinksUpToDate>false</LinksUpToDate>
  <CharactersWithSpaces>1603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