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8B81" w14:textId="646F2B1E" w:rsidR="006612FF" w:rsidRPr="006612FF" w:rsidRDefault="006612FF" w:rsidP="006612FF">
      <w:pPr>
        <w:jc w:val="center"/>
      </w:pPr>
      <w:r w:rsidRPr="00447061">
        <w:rPr>
          <w:noProof/>
        </w:rPr>
        <mc:AlternateContent>
          <mc:Choice Requires="wps">
            <w:drawing>
              <wp:anchor distT="0" distB="0" distL="114300" distR="114300" simplePos="0" relativeHeight="251658276" behindDoc="0" locked="0" layoutInCell="1" allowOverlap="1" wp14:anchorId="66EF93B5" wp14:editId="34AE7376">
                <wp:simplePos x="0" y="0"/>
                <wp:positionH relativeFrom="margin">
                  <wp:posOffset>5680710</wp:posOffset>
                </wp:positionH>
                <wp:positionV relativeFrom="paragraph">
                  <wp:posOffset>4445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47.3pt;margin-top:.3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r w:rsidRPr="006612FF">
        <w:rPr>
          <w:rFonts w:asciiTheme="minorEastAsia" w:eastAsiaTheme="minorEastAsia" w:hAnsiTheme="minorEastAsia" w:hint="eastAsia"/>
          <w:sz w:val="24"/>
        </w:rPr>
        <w:t>－　ワーク・ライフ・バランス等推進企業に関する認定等の状況について　－</w:t>
      </w:r>
    </w:p>
    <w:p w14:paraId="577596FF" w14:textId="5570D383" w:rsidR="006612FF" w:rsidRPr="006612FF" w:rsidRDefault="006612FF" w:rsidP="006612FF">
      <w:pPr>
        <w:jc w:val="left"/>
        <w:rPr>
          <w:rFonts w:asciiTheme="minorEastAsia" w:eastAsiaTheme="minorEastAsia" w:hAnsiTheme="minorEastAsia"/>
          <w:szCs w:val="21"/>
        </w:rPr>
      </w:pPr>
    </w:p>
    <w:p w14:paraId="552EAB3F"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6612FF">
        <w:rPr>
          <w:rFonts w:asciiTheme="minorEastAsia" w:eastAsiaTheme="minorEastAsia" w:hAnsiTheme="minorEastAsia" w:hint="eastAsia"/>
        </w:rPr>
        <w:t>えるぼし認定企業</w:t>
      </w:r>
      <w:r w:rsidRPr="006612FF">
        <w:rPr>
          <w:rFonts w:asciiTheme="minorEastAsia" w:eastAsiaTheme="minorEastAsia" w:hAnsiTheme="minorEastAsia"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7A6C7E54" w14:textId="77777777" w:rsidR="006612FF" w:rsidRPr="006612FF" w:rsidRDefault="006612FF" w:rsidP="006612FF">
      <w:pPr>
        <w:ind w:firstLineChars="100" w:firstLine="219"/>
        <w:jc w:val="left"/>
        <w:rPr>
          <w:rFonts w:asciiTheme="minorEastAsia" w:eastAsiaTheme="minorEastAsia" w:hAnsiTheme="minorEastAsia"/>
          <w:szCs w:val="21"/>
        </w:rPr>
      </w:pPr>
    </w:p>
    <w:p w14:paraId="2F3752AE"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6612FF" w:rsidRPr="006612FF" w14:paraId="30F09DAD" w14:textId="77777777" w:rsidTr="007023AC">
        <w:tc>
          <w:tcPr>
            <w:tcW w:w="2435" w:type="dxa"/>
          </w:tcPr>
          <w:p w14:paraId="786BA1E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法人名</w:t>
            </w:r>
          </w:p>
        </w:tc>
        <w:tc>
          <w:tcPr>
            <w:tcW w:w="1388" w:type="dxa"/>
          </w:tcPr>
          <w:p w14:paraId="542FA3D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常時雇用する労働者数</w:t>
            </w:r>
          </w:p>
        </w:tc>
        <w:tc>
          <w:tcPr>
            <w:tcW w:w="5953" w:type="dxa"/>
          </w:tcPr>
          <w:p w14:paraId="42AE39E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認定状況及び取得年月日（認定が</w:t>
            </w:r>
            <w:r w:rsidRPr="006612FF">
              <w:rPr>
                <w:rFonts w:asciiTheme="minorEastAsia" w:eastAsiaTheme="minorEastAsia" w:hAnsiTheme="minorEastAsia"/>
                <w:szCs w:val="21"/>
              </w:rPr>
              <w:t>何も無い場合は</w:t>
            </w:r>
            <w:r w:rsidRPr="006612FF">
              <w:rPr>
                <w:rFonts w:asciiTheme="minorEastAsia" w:eastAsiaTheme="minorEastAsia" w:hAnsiTheme="minorEastAsia" w:hint="eastAsia"/>
                <w:szCs w:val="21"/>
              </w:rPr>
              <w:t>無し</w:t>
            </w:r>
            <w:r w:rsidRPr="006612FF">
              <w:rPr>
                <w:rFonts w:asciiTheme="minorEastAsia" w:eastAsiaTheme="minorEastAsia" w:hAnsiTheme="minorEastAsia"/>
                <w:szCs w:val="21"/>
              </w:rPr>
              <w:t>と記入）</w:t>
            </w:r>
          </w:p>
        </w:tc>
      </w:tr>
      <w:tr w:rsidR="006612FF" w:rsidRPr="006612FF" w14:paraId="647EB828" w14:textId="77777777" w:rsidTr="007023AC">
        <w:tc>
          <w:tcPr>
            <w:tcW w:w="2435" w:type="dxa"/>
          </w:tcPr>
          <w:p w14:paraId="19DDBD42"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6AB2446C"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53F7CCF5"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えるぼし認定１段階（○年○月○日）</w:t>
            </w:r>
          </w:p>
        </w:tc>
      </w:tr>
      <w:tr w:rsidR="006612FF" w:rsidRPr="006612FF" w14:paraId="74B4EFB7" w14:textId="77777777" w:rsidTr="007023AC">
        <w:tc>
          <w:tcPr>
            <w:tcW w:w="2435" w:type="dxa"/>
          </w:tcPr>
          <w:p w14:paraId="6C6BB89C"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7B962FF4"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4BBAAA70"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えるぼし認定行動計画（○年○月○日）、</w:t>
            </w:r>
          </w:p>
          <w:p w14:paraId="53295BD6"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ユースエール認定</w:t>
            </w:r>
          </w:p>
        </w:tc>
      </w:tr>
      <w:tr w:rsidR="006612FF" w:rsidRPr="006612FF" w14:paraId="7B3342BA" w14:textId="77777777" w:rsidTr="007023AC">
        <w:tc>
          <w:tcPr>
            <w:tcW w:w="2435" w:type="dxa"/>
          </w:tcPr>
          <w:p w14:paraId="5C5D2A8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○○大学</w:t>
            </w:r>
          </w:p>
        </w:tc>
        <w:tc>
          <w:tcPr>
            <w:tcW w:w="1388" w:type="dxa"/>
          </w:tcPr>
          <w:p w14:paraId="7D3652C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2812FAF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プラチナくるみん認定（○年○月○日）</w:t>
            </w:r>
          </w:p>
        </w:tc>
      </w:tr>
    </w:tbl>
    <w:p w14:paraId="7893C7B6" w14:textId="77777777" w:rsidR="006612FF" w:rsidRPr="006612FF" w:rsidRDefault="006612FF" w:rsidP="006612FF">
      <w:pPr>
        <w:ind w:firstLineChars="100" w:firstLine="189"/>
        <w:jc w:val="left"/>
        <w:rPr>
          <w:rFonts w:asciiTheme="minorEastAsia" w:eastAsiaTheme="minorEastAsia" w:hAnsiTheme="minorEastAsia"/>
          <w:szCs w:val="21"/>
        </w:rPr>
      </w:pPr>
      <w:r w:rsidRPr="006612FF">
        <w:rPr>
          <w:rFonts w:asciiTheme="minorEastAsia" w:eastAsiaTheme="minorEastAsia" w:hAnsiTheme="minorEastAsia" w:hint="eastAsia"/>
          <w:sz w:val="18"/>
          <w:szCs w:val="18"/>
        </w:rPr>
        <w:t>※必要に応じて、適宜行を追加してください。また証拠書類</w:t>
      </w:r>
      <w:r w:rsidRPr="006612FF">
        <w:rPr>
          <w:rFonts w:asciiTheme="minorEastAsia" w:eastAsiaTheme="minorEastAsia" w:hAnsiTheme="minorEastAsia"/>
          <w:sz w:val="18"/>
          <w:szCs w:val="18"/>
        </w:rPr>
        <w:t>等の</w:t>
      </w:r>
      <w:r w:rsidRPr="006612FF">
        <w:rPr>
          <w:rFonts w:asciiTheme="minorEastAsia" w:eastAsiaTheme="minorEastAsia" w:hAnsiTheme="minorEastAsia" w:hint="eastAsia"/>
          <w:sz w:val="18"/>
          <w:szCs w:val="18"/>
        </w:rPr>
        <w:t>提出</w:t>
      </w:r>
      <w:r w:rsidRPr="006612FF">
        <w:rPr>
          <w:rFonts w:asciiTheme="minorEastAsia" w:eastAsiaTheme="minorEastAsia" w:hAnsiTheme="minorEastAsia"/>
          <w:sz w:val="18"/>
          <w:szCs w:val="18"/>
        </w:rPr>
        <w:t>をお願いする</w:t>
      </w:r>
      <w:r w:rsidRPr="006612FF">
        <w:rPr>
          <w:rFonts w:asciiTheme="minorEastAsia" w:eastAsiaTheme="minorEastAsia" w:hAnsiTheme="minorEastAsia" w:hint="eastAsia"/>
          <w:sz w:val="18"/>
          <w:szCs w:val="18"/>
        </w:rPr>
        <w:t>可能性があります</w:t>
      </w:r>
      <w:r w:rsidRPr="006612FF">
        <w:rPr>
          <w:rFonts w:asciiTheme="minorEastAsia" w:eastAsiaTheme="minorEastAsia" w:hAnsiTheme="minorEastAsia" w:hint="eastAsia"/>
          <w:szCs w:val="21"/>
        </w:rPr>
        <w:t>。</w:t>
      </w:r>
    </w:p>
    <w:p w14:paraId="586191EB"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p>
    <w:p w14:paraId="3227C781"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r w:rsidRPr="006612FF">
        <w:rPr>
          <w:rFonts w:asciiTheme="minorEastAsia" w:eastAsiaTheme="minorEastAsia" w:hAnsiTheme="minorEastAsia" w:cs="Arial Unicode MS" w:hint="eastAsia"/>
          <w:sz w:val="18"/>
          <w:szCs w:val="21"/>
        </w:rPr>
        <w:t>【加点対象認定】</w:t>
      </w:r>
    </w:p>
    <w:p w14:paraId="3B1D5F41" w14:textId="179159B3" w:rsidR="006612FF" w:rsidRPr="006612FF" w:rsidRDefault="006612FF" w:rsidP="006612FF">
      <w:pPr>
        <w:ind w:leftChars="100" w:left="1164" w:hangingChars="500" w:hanging="945"/>
        <w:jc w:val="left"/>
        <w:rPr>
          <w:rFonts w:asciiTheme="minorEastAsia" w:eastAsiaTheme="minorEastAsia" w:hAnsiTheme="minorEastAsia"/>
          <w:sz w:val="18"/>
          <w:szCs w:val="21"/>
        </w:rPr>
      </w:pPr>
      <w:r w:rsidRPr="006612FF">
        <w:rPr>
          <w:rFonts w:asciiTheme="minorEastAsia" w:eastAsiaTheme="minorEastAsia" w:hAnsiTheme="minorEastAsia" w:cs="Arial Unicode MS" w:hint="eastAsia"/>
          <w:sz w:val="18"/>
          <w:szCs w:val="21"/>
        </w:rPr>
        <w:t>（参考：女性活躍推進法特集ページ</w:t>
      </w:r>
      <w:hyperlink r:id="rId7" w:history="1">
        <w:r w:rsidRPr="006612FF">
          <w:rPr>
            <w:rStyle w:val="afffd"/>
            <w:rFonts w:asciiTheme="minorEastAsia" w:eastAsiaTheme="minorEastAsia" w:hAnsiTheme="minorEastAsia"/>
            <w:noProof w:val="0"/>
            <w:sz w:val="18"/>
            <w:szCs w:val="21"/>
          </w:rPr>
          <w:t>https://www.mhlw.go.jp/stf/seisakunitsuite/bunya/0000091025.html</w:t>
        </w:r>
      </w:hyperlink>
      <w:r w:rsidRPr="006612FF">
        <w:rPr>
          <w:rFonts w:asciiTheme="minorEastAsia" w:eastAsiaTheme="minorEastAsia" w:hAnsiTheme="minorEastAsia"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6612FF" w:rsidRPr="006612FF" w14:paraId="4506FBCC" w14:textId="77777777" w:rsidTr="007023AC">
        <w:trPr>
          <w:jc w:val="center"/>
        </w:trPr>
        <w:tc>
          <w:tcPr>
            <w:tcW w:w="9926" w:type="dxa"/>
            <w:gridSpan w:val="2"/>
            <w:shd w:val="clear" w:color="auto" w:fill="auto"/>
            <w:vAlign w:val="center"/>
          </w:tcPr>
          <w:p w14:paraId="70DC0DB6" w14:textId="77777777" w:rsidR="006612FF" w:rsidRPr="006612FF" w:rsidRDefault="006612FF" w:rsidP="006612FF">
            <w:pPr>
              <w:ind w:firstLine="245"/>
              <w:jc w:val="cente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認定等の区分</w:t>
            </w:r>
          </w:p>
        </w:tc>
      </w:tr>
      <w:tr w:rsidR="006612FF" w:rsidRPr="006612FF" w14:paraId="577D344D" w14:textId="77777777" w:rsidTr="007023AC">
        <w:trPr>
          <w:trHeight w:val="391"/>
          <w:jc w:val="center"/>
        </w:trPr>
        <w:tc>
          <w:tcPr>
            <w:tcW w:w="3970" w:type="dxa"/>
            <w:vMerge w:val="restart"/>
            <w:vAlign w:val="center"/>
          </w:tcPr>
          <w:p w14:paraId="37F6A48A"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女性の職業生活における活躍の推進に関する法律（女性活躍推進法）に基づく認定</w:t>
            </w:r>
          </w:p>
          <w:p w14:paraId="0C131D66"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（えるぼし認定企業・プラチナえるぼし認定企業）</w:t>
            </w:r>
          </w:p>
        </w:tc>
        <w:tc>
          <w:tcPr>
            <w:tcW w:w="5956" w:type="dxa"/>
            <w:vAlign w:val="center"/>
          </w:tcPr>
          <w:p w14:paraId="545B8EA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プラチナえるぼし</w:t>
            </w:r>
            <w:r w:rsidRPr="006612FF">
              <w:rPr>
                <w:rFonts w:asciiTheme="majorEastAsia" w:eastAsiaTheme="majorEastAsia" w:hAnsiTheme="majorEastAsia" w:hint="eastAsia"/>
                <w:sz w:val="18"/>
                <w:szCs w:val="18"/>
                <w:vertAlign w:val="superscript"/>
              </w:rPr>
              <w:t>※1</w:t>
            </w:r>
          </w:p>
        </w:tc>
      </w:tr>
      <w:tr w:rsidR="006612FF" w:rsidRPr="006612FF" w14:paraId="2F6CADE6" w14:textId="77777777" w:rsidTr="007023AC">
        <w:trPr>
          <w:trHeight w:val="85"/>
          <w:jc w:val="center"/>
        </w:trPr>
        <w:tc>
          <w:tcPr>
            <w:tcW w:w="3970" w:type="dxa"/>
            <w:vMerge/>
            <w:vAlign w:val="center"/>
          </w:tcPr>
          <w:p w14:paraId="794C4350"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7DBF4FFE"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3段階目</w:t>
            </w:r>
            <w:r w:rsidRPr="006612FF">
              <w:rPr>
                <w:rFonts w:asciiTheme="majorEastAsia" w:eastAsiaTheme="majorEastAsia" w:hAnsiTheme="majorEastAsia" w:hint="eastAsia"/>
                <w:sz w:val="18"/>
                <w:szCs w:val="18"/>
                <w:vertAlign w:val="superscript"/>
              </w:rPr>
              <w:t>※2</w:t>
            </w:r>
          </w:p>
        </w:tc>
      </w:tr>
      <w:tr w:rsidR="006612FF" w:rsidRPr="006612FF" w14:paraId="49FE8CA0" w14:textId="77777777" w:rsidTr="007023AC">
        <w:trPr>
          <w:trHeight w:val="85"/>
          <w:jc w:val="center"/>
        </w:trPr>
        <w:tc>
          <w:tcPr>
            <w:tcW w:w="3970" w:type="dxa"/>
            <w:vMerge/>
            <w:vAlign w:val="center"/>
          </w:tcPr>
          <w:p w14:paraId="7758164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095CD90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2段階目</w:t>
            </w:r>
            <w:r w:rsidRPr="006612FF">
              <w:rPr>
                <w:rFonts w:asciiTheme="majorEastAsia" w:eastAsiaTheme="majorEastAsia" w:hAnsiTheme="majorEastAsia" w:hint="eastAsia"/>
                <w:sz w:val="18"/>
                <w:szCs w:val="18"/>
                <w:vertAlign w:val="superscript"/>
              </w:rPr>
              <w:t>※2</w:t>
            </w:r>
          </w:p>
        </w:tc>
      </w:tr>
      <w:tr w:rsidR="006612FF" w:rsidRPr="006612FF" w14:paraId="4A4DF5FD" w14:textId="77777777" w:rsidTr="007023AC">
        <w:trPr>
          <w:trHeight w:val="85"/>
          <w:jc w:val="center"/>
        </w:trPr>
        <w:tc>
          <w:tcPr>
            <w:tcW w:w="3970" w:type="dxa"/>
            <w:vMerge/>
            <w:vAlign w:val="center"/>
          </w:tcPr>
          <w:p w14:paraId="4565C0F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6BA8EB0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1段階目</w:t>
            </w:r>
            <w:r w:rsidRPr="006612FF">
              <w:rPr>
                <w:rFonts w:asciiTheme="majorEastAsia" w:eastAsiaTheme="majorEastAsia" w:hAnsiTheme="majorEastAsia" w:hint="eastAsia"/>
                <w:sz w:val="18"/>
                <w:szCs w:val="18"/>
                <w:vertAlign w:val="superscript"/>
              </w:rPr>
              <w:t>※2</w:t>
            </w:r>
          </w:p>
        </w:tc>
      </w:tr>
      <w:tr w:rsidR="006612FF" w:rsidRPr="006612FF" w14:paraId="4D48946F" w14:textId="77777777" w:rsidTr="007023AC">
        <w:trPr>
          <w:trHeight w:val="85"/>
          <w:jc w:val="center"/>
        </w:trPr>
        <w:tc>
          <w:tcPr>
            <w:tcW w:w="3970" w:type="dxa"/>
            <w:vMerge/>
            <w:vAlign w:val="center"/>
          </w:tcPr>
          <w:p w14:paraId="2BE2C17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3524511D"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行動計画</w:t>
            </w:r>
            <w:r w:rsidRPr="006612FF">
              <w:rPr>
                <w:rFonts w:asciiTheme="majorEastAsia" w:eastAsiaTheme="majorEastAsia" w:hAnsiTheme="majorEastAsia" w:hint="eastAsia"/>
                <w:sz w:val="18"/>
                <w:szCs w:val="18"/>
                <w:vertAlign w:val="superscript"/>
              </w:rPr>
              <w:t>※3</w:t>
            </w:r>
          </w:p>
        </w:tc>
      </w:tr>
      <w:tr w:rsidR="006612FF" w:rsidRPr="006612FF" w14:paraId="45061812" w14:textId="77777777" w:rsidTr="007023AC">
        <w:trPr>
          <w:trHeight w:val="426"/>
          <w:jc w:val="center"/>
        </w:trPr>
        <w:tc>
          <w:tcPr>
            <w:tcW w:w="3970" w:type="dxa"/>
            <w:vMerge w:val="restart"/>
            <w:vAlign w:val="center"/>
          </w:tcPr>
          <w:p w14:paraId="74734A6D"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次世代育成支援対策推進法（次世代法）に基づく認定</w:t>
            </w:r>
          </w:p>
          <w:p w14:paraId="05FB2B3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0FB59AF3"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プラチナくるみん</w:t>
            </w:r>
            <w:r w:rsidRPr="006612FF">
              <w:rPr>
                <w:rFonts w:asciiTheme="majorEastAsia" w:eastAsiaTheme="majorEastAsia" w:hAnsiTheme="majorEastAsia" w:hint="eastAsia"/>
                <w:sz w:val="18"/>
                <w:szCs w:val="18"/>
                <w:vertAlign w:val="superscript"/>
              </w:rPr>
              <w:t>※4</w:t>
            </w:r>
          </w:p>
        </w:tc>
      </w:tr>
      <w:tr w:rsidR="006612FF" w:rsidRPr="006612FF" w14:paraId="61C418E0" w14:textId="77777777" w:rsidTr="007023AC">
        <w:trPr>
          <w:trHeight w:val="134"/>
          <w:jc w:val="center"/>
        </w:trPr>
        <w:tc>
          <w:tcPr>
            <w:tcW w:w="3970" w:type="dxa"/>
            <w:vMerge/>
            <w:vAlign w:val="center"/>
          </w:tcPr>
          <w:p w14:paraId="15D6426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7BF5245"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くるみん（令和4年4月1日以降の基準）</w:t>
            </w:r>
            <w:r w:rsidRPr="006612FF">
              <w:rPr>
                <w:rFonts w:asciiTheme="majorEastAsia" w:eastAsiaTheme="majorEastAsia" w:hAnsiTheme="majorEastAsia" w:hint="eastAsia"/>
                <w:sz w:val="18"/>
                <w:szCs w:val="18"/>
                <w:vertAlign w:val="superscript"/>
              </w:rPr>
              <w:t>※5</w:t>
            </w:r>
          </w:p>
        </w:tc>
      </w:tr>
      <w:tr w:rsidR="006612FF" w:rsidRPr="006612FF" w14:paraId="2F7BB33D" w14:textId="77777777" w:rsidTr="007023AC">
        <w:trPr>
          <w:trHeight w:val="134"/>
          <w:jc w:val="center"/>
        </w:trPr>
        <w:tc>
          <w:tcPr>
            <w:tcW w:w="3970" w:type="dxa"/>
            <w:vMerge/>
            <w:vAlign w:val="center"/>
          </w:tcPr>
          <w:p w14:paraId="3AFB343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20F494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くるみん（平成29年4月1日～令和4年3月31日までの基準）</w:t>
            </w:r>
            <w:r w:rsidRPr="006612FF">
              <w:rPr>
                <w:rFonts w:asciiTheme="majorEastAsia" w:eastAsiaTheme="majorEastAsia" w:hAnsiTheme="majorEastAsia" w:hint="eastAsia"/>
                <w:sz w:val="18"/>
                <w:szCs w:val="18"/>
                <w:vertAlign w:val="superscript"/>
              </w:rPr>
              <w:t>※6</w:t>
            </w:r>
          </w:p>
        </w:tc>
      </w:tr>
      <w:tr w:rsidR="006612FF" w:rsidRPr="006612FF" w14:paraId="7EC746AE" w14:textId="77777777" w:rsidTr="007023AC">
        <w:trPr>
          <w:trHeight w:val="134"/>
          <w:jc w:val="center"/>
        </w:trPr>
        <w:tc>
          <w:tcPr>
            <w:tcW w:w="3970" w:type="dxa"/>
            <w:vMerge/>
            <w:vAlign w:val="center"/>
          </w:tcPr>
          <w:p w14:paraId="379801B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D86285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トライくるみん</w:t>
            </w:r>
            <w:r w:rsidRPr="006612FF">
              <w:rPr>
                <w:rFonts w:asciiTheme="majorEastAsia" w:eastAsiaTheme="majorEastAsia" w:hAnsiTheme="majorEastAsia" w:hint="eastAsia"/>
                <w:sz w:val="18"/>
                <w:szCs w:val="18"/>
                <w:vertAlign w:val="superscript"/>
              </w:rPr>
              <w:t>※7</w:t>
            </w:r>
          </w:p>
        </w:tc>
      </w:tr>
      <w:tr w:rsidR="006612FF" w:rsidRPr="006612FF" w14:paraId="6D31161E" w14:textId="77777777" w:rsidTr="007023AC">
        <w:trPr>
          <w:trHeight w:val="197"/>
          <w:jc w:val="center"/>
        </w:trPr>
        <w:tc>
          <w:tcPr>
            <w:tcW w:w="3970" w:type="dxa"/>
            <w:vMerge/>
            <w:vAlign w:val="center"/>
          </w:tcPr>
          <w:p w14:paraId="3DEF8BAE"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29CE5F7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くるみん（平成29年3月31日までの基準）</w:t>
            </w:r>
            <w:r w:rsidRPr="006612FF">
              <w:rPr>
                <w:rFonts w:asciiTheme="majorEastAsia" w:eastAsiaTheme="majorEastAsia" w:hAnsiTheme="majorEastAsia" w:hint="eastAsia"/>
                <w:sz w:val="18"/>
                <w:szCs w:val="18"/>
                <w:vertAlign w:val="superscript"/>
              </w:rPr>
              <w:t>※8</w:t>
            </w:r>
          </w:p>
        </w:tc>
      </w:tr>
      <w:tr w:rsidR="006612FF" w:rsidRPr="006612FF" w14:paraId="6C41DDDD" w14:textId="77777777" w:rsidTr="007023AC">
        <w:trPr>
          <w:jc w:val="center"/>
        </w:trPr>
        <w:tc>
          <w:tcPr>
            <w:tcW w:w="9926" w:type="dxa"/>
            <w:gridSpan w:val="2"/>
            <w:vAlign w:val="center"/>
          </w:tcPr>
          <w:p w14:paraId="0F2A7E74"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35E94A31"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1D00AA6"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※2：女性活躍推進法第9条に基づく認定。なお、労働時間等の働き方に係る基準は満たすことが必要。</w:t>
      </w:r>
    </w:p>
    <w:p w14:paraId="23BE38B5" w14:textId="77777777" w:rsidR="006612FF" w:rsidRDefault="006612FF" w:rsidP="006612FF">
      <w:pPr>
        <w:spacing w:line="0" w:lineRule="atLeast"/>
        <w:jc w:val="left"/>
        <w:rPr>
          <w:rFonts w:hAnsi="ＭＳ 明朝"/>
          <w:sz w:val="18"/>
          <w:szCs w:val="18"/>
        </w:rPr>
      </w:pPr>
      <w:r w:rsidRPr="006612FF">
        <w:rPr>
          <w:rFonts w:hAnsi="ＭＳ 明朝" w:hint="eastAsia"/>
          <w:sz w:val="18"/>
          <w:szCs w:val="18"/>
        </w:rPr>
        <w:t>※3：常時雇用する労働者の数が100 人以下の事業主に限る（計画期間が満了していない行動計画を策定している場合のみ）。</w:t>
      </w:r>
    </w:p>
    <w:p w14:paraId="5B0E69C2" w14:textId="09DDF9A1"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※4：次世代法第15条の2の規定に基づく認定</w:t>
      </w:r>
    </w:p>
    <w:p w14:paraId="52FC2578"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E365F4F"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76F3370F"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※7：次世代法第13条の規定に基づく認定のうち、新施行規則第4条第1項第3号及び第4号の規定に基づく認定</w:t>
      </w:r>
    </w:p>
    <w:p w14:paraId="6B9420B9"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519B646" w14:textId="34333498" w:rsidR="004A2B6E" w:rsidRPr="006612FF" w:rsidRDefault="004A2B6E" w:rsidP="006612FF">
      <w:pPr>
        <w:rPr>
          <w:sz w:val="16"/>
          <w:szCs w:val="20"/>
        </w:rPr>
      </w:pPr>
    </w:p>
    <w:sectPr w:rsidR="004A2B6E" w:rsidRPr="006612FF" w:rsidSect="006612FF">
      <w:pgSz w:w="11906" w:h="16838" w:code="9"/>
      <w:pgMar w:top="720" w:right="720" w:bottom="720" w:left="720"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1AE"/>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064"/>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2FF"/>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