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19B8C844"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0DA6FDC3" w14:textId="77777777" w:rsidR="001337B6" w:rsidRDefault="001337B6" w:rsidP="00091149">
      <w:pPr>
        <w:pStyle w:val="af1"/>
        <w:jc w:val="center"/>
        <w:rPr>
          <w:rFonts w:hAnsi="ＭＳ 明朝"/>
          <w:b/>
          <w:bCs/>
          <w:color w:val="000000" w:themeColor="text1"/>
          <w:sz w:val="28"/>
          <w:szCs w:val="28"/>
        </w:rPr>
      </w:pPr>
      <w:bookmarkStart w:id="1" w:name="_Hlk196751772"/>
      <w:r w:rsidRPr="001337B6">
        <w:rPr>
          <w:rFonts w:hAnsi="ＭＳ 明朝" w:hint="eastAsia"/>
          <w:b/>
          <w:bCs/>
          <w:color w:val="000000" w:themeColor="text1"/>
          <w:sz w:val="28"/>
          <w:szCs w:val="28"/>
        </w:rPr>
        <w:t>2025年度「次世代蓄電池分野に係る政策・技術開発動向調査」</w:t>
      </w:r>
      <w:bookmarkEnd w:id="1"/>
    </w:p>
    <w:p w14:paraId="5E92EF84" w14:textId="39625D6D"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に対する提案書</w:t>
      </w:r>
    </w:p>
    <w:p w14:paraId="05691D06" w14:textId="1A272959"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78540BFD" w14:textId="2C0B4CF1" w:rsidR="00091149" w:rsidRPr="00747E9C" w:rsidRDefault="001337B6" w:rsidP="00091149">
      <w:pPr>
        <w:pStyle w:val="af1"/>
        <w:rPr>
          <w:rFonts w:hAnsi="ＭＳ 明朝"/>
          <w:color w:val="000000" w:themeColor="text1"/>
          <w:spacing w:val="0"/>
          <w:sz w:val="21"/>
          <w:szCs w:val="21"/>
        </w:rPr>
      </w:pPr>
      <w:r w:rsidRPr="001337B6">
        <w:rPr>
          <w:rFonts w:hAnsi="ＭＳ 明朝" w:hint="eastAsia"/>
          <w:color w:val="000000" w:themeColor="text1"/>
        </w:rPr>
        <w:t>2025年度「次世代蓄電池分野に係る政策・技術開発動向調査」</w: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2" w:name="_Hlk148980232"/>
      <w:r w:rsidRPr="00F825B3">
        <w:rPr>
          <w:rFonts w:hAnsi="ＭＳ 明朝" w:hint="eastAsia"/>
          <w:i/>
          <w:iCs/>
          <w:color w:val="0070C0"/>
        </w:rPr>
        <w:t>※日中連絡がつく連絡先を記載</w:t>
      </w:r>
    </w:p>
    <w:bookmarkEnd w:id="2"/>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6C2CDB10" w14:textId="60A1313E" w:rsidR="00B434DB" w:rsidRPr="00024D64" w:rsidRDefault="00B434DB" w:rsidP="00B434DB">
      <w:pPr>
        <w:pStyle w:val="af1"/>
        <w:rPr>
          <w:rFonts w:hAnsi="ＭＳ 明朝"/>
          <w:b/>
          <w:bCs/>
          <w:color w:val="FF0000"/>
          <w:szCs w:val="21"/>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84CDD2"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5BBA93"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5DA4A114" w14:textId="77777777" w:rsidR="001337B6" w:rsidRDefault="001337B6" w:rsidP="00C0703D">
      <w:pPr>
        <w:pStyle w:val="af1"/>
        <w:rPr>
          <w:rFonts w:hAnsi="ＭＳ 明朝"/>
          <w:i/>
          <w:iCs/>
          <w:color w:val="0070C0"/>
          <w:sz w:val="21"/>
          <w:szCs w:val="21"/>
        </w:rPr>
      </w:pPr>
    </w:p>
    <w:p w14:paraId="7D1379DA" w14:textId="77777777" w:rsidR="001337B6" w:rsidRDefault="001337B6" w:rsidP="00C0703D">
      <w:pPr>
        <w:pStyle w:val="af1"/>
        <w:rPr>
          <w:rFonts w:hAnsi="ＭＳ 明朝"/>
          <w:i/>
          <w:iCs/>
          <w:color w:val="0070C0"/>
          <w:sz w:val="21"/>
          <w:szCs w:val="21"/>
        </w:rPr>
      </w:pPr>
    </w:p>
    <w:p w14:paraId="1E0A76ED" w14:textId="77777777" w:rsidR="001337B6" w:rsidRDefault="001337B6"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8" w:history="1">
        <w:r w:rsidRPr="0018630B">
          <w:rPr>
            <w:rStyle w:val="afffd"/>
            <w:rFonts w:hAnsi="ＭＳ 明朝" w:hint="eastAsia"/>
            <w:i/>
            <w:iCs/>
            <w:noProof w:val="0"/>
            <w:sz w:val="18"/>
            <w:szCs w:val="18"/>
          </w:rPr>
          <w:t>https://www.nedo.go.jp/itaku-gyomu/yakkan.html</w:t>
        </w:r>
      </w:hyperlink>
    </w:p>
    <w:p w14:paraId="54BBBF1A" w14:textId="7CDABD6F"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9"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10"/>
      <w:footerReference w:type="default"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B6"/>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6AC"/>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714"/>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BEF"/>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D14"/>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1AC"/>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60E"/>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nedo.go.jp/itaku-gyomu/yakkan.html" TargetMode="External" Type="http://schemas.openxmlformats.org/officeDocument/2006/relationships/hyperlink"/><Relationship Id="rId9" Target="https://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3491</Words>
  <Characters>840</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4323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