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52C5619" w:rsidR="00E108D6" w:rsidRPr="001F0D7D" w:rsidRDefault="00E108D6" w:rsidP="00155AAF">
                            <w:pPr>
                              <w:pStyle w:val="aff2"/>
                              <w:rPr>
                                <w:sz w:val="24"/>
                              </w:rPr>
                            </w:pPr>
                            <w:r w:rsidRPr="001F0D7D">
                              <w:rPr>
                                <w:rFonts w:hint="eastAsia"/>
                                <w:sz w:val="24"/>
                              </w:rPr>
                              <w:t>別添</w:t>
                            </w:r>
                            <w:r w:rsidR="00E87754">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52C5619" w:rsidR="00E108D6" w:rsidRPr="001F0D7D" w:rsidRDefault="00E108D6" w:rsidP="00155AAF">
                      <w:pPr>
                        <w:pStyle w:val="aff2"/>
                        <w:rPr>
                          <w:sz w:val="24"/>
                        </w:rPr>
                      </w:pPr>
                      <w:r w:rsidRPr="001F0D7D">
                        <w:rPr>
                          <w:rFonts w:hint="eastAsia"/>
                          <w:sz w:val="24"/>
                        </w:rPr>
                        <w:t>別添</w:t>
                      </w:r>
                      <w:r w:rsidR="00E87754">
                        <w:rPr>
                          <w:rFonts w:asciiTheme="minorEastAsia" w:eastAsiaTheme="minorEastAsia" w:hAnsiTheme="minorEastAsia" w:hint="eastAsia"/>
                          <w:sz w:val="24"/>
                        </w:rPr>
                        <w:t>２</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3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399"/>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878E2"/>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5DF0"/>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754"/>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59ED"/>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260F"/>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1442</Words>
  <Characters>241</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