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FE0E172" w:rsidR="00E108D6" w:rsidRPr="001F0D7D" w:rsidRDefault="00E108D6" w:rsidP="00155AAF">
                            <w:pPr>
                              <w:pStyle w:val="aff2"/>
                              <w:rPr>
                                <w:sz w:val="24"/>
                              </w:rPr>
                            </w:pPr>
                            <w:r w:rsidRPr="001F0D7D">
                              <w:rPr>
                                <w:rFonts w:hint="eastAsia"/>
                                <w:sz w:val="24"/>
                              </w:rPr>
                              <w:t>別添</w:t>
                            </w:r>
                            <w:r w:rsidR="005E5DC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2FE0E172" w:rsidR="00E108D6" w:rsidRPr="001F0D7D" w:rsidRDefault="00E108D6" w:rsidP="00155AAF">
                      <w:pPr>
                        <w:pStyle w:val="aff2"/>
                        <w:rPr>
                          <w:sz w:val="24"/>
                        </w:rPr>
                      </w:pPr>
                      <w:r w:rsidRPr="001F0D7D">
                        <w:rPr>
                          <w:rFonts w:hint="eastAsia"/>
                          <w:sz w:val="24"/>
                        </w:rPr>
                        <w:t>別添</w:t>
                      </w:r>
                      <w:r w:rsidR="005E5DC0">
                        <w:rPr>
                          <w:rFonts w:asciiTheme="minorEastAsia" w:eastAsiaTheme="minorEastAsia" w:hAnsiTheme="minorEastAsia" w:hint="eastAsia"/>
                          <w:sz w:val="24"/>
                        </w:rPr>
                        <w:t>3</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2424448C" w14:textId="7777777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77777777"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7777777" w:rsidR="00A16363" w:rsidRDefault="00A16363" w:rsidP="00AC7A3D">
      <w:pPr>
        <w:jc w:val="left"/>
        <w:rPr>
          <w:rFonts w:asciiTheme="minorEastAsia" w:eastAsiaTheme="minorEastAsia" w:hAnsiTheme="minorEastAsia" w:cs="Arial Unicode MS"/>
          <w:i/>
          <w:iCs/>
          <w:color w:val="0070C0"/>
          <w:sz w:val="18"/>
          <w:szCs w:val="21"/>
        </w:rPr>
      </w:pPr>
    </w:p>
    <w:p w14:paraId="41AF386E" w14:textId="1F2B72AB" w:rsidR="00360B02" w:rsidRPr="00BB24C9" w:rsidRDefault="00360B02" w:rsidP="00AC7A3D">
      <w:pPr>
        <w:jc w:val="left"/>
        <w:rPr>
          <w:rFonts w:asciiTheme="minorEastAsia" w:eastAsiaTheme="minorEastAsia" w:hAnsiTheme="minorEastAsia" w:cs="Arial Unicode MS"/>
          <w:i/>
          <w:iCs/>
          <w:color w:val="0070C0"/>
          <w:sz w:val="18"/>
          <w:szCs w:val="21"/>
        </w:rPr>
      </w:pPr>
      <w:r w:rsidRPr="00BB24C9">
        <w:rPr>
          <w:rFonts w:asciiTheme="minorEastAsia" w:eastAsiaTheme="minorEastAsia" w:hAnsiTheme="minorEastAsia" w:cs="Arial Unicode MS" w:hint="eastAsia"/>
          <w:i/>
          <w:iCs/>
          <w:color w:val="0070C0"/>
          <w:sz w:val="18"/>
          <w:szCs w:val="21"/>
        </w:rPr>
        <w:t>【加点対象認定】</w:t>
      </w:r>
    </w:p>
    <w:p w14:paraId="7A149E49" w14:textId="77777777" w:rsidR="00360B02" w:rsidRPr="00BB24C9" w:rsidRDefault="00360B02" w:rsidP="00AC7A3D">
      <w:pPr>
        <w:jc w:val="left"/>
        <w:rPr>
          <w:rFonts w:asciiTheme="minorEastAsia" w:eastAsiaTheme="minorEastAsia" w:hAnsiTheme="minorEastAsia"/>
          <w:i/>
          <w:iCs/>
          <w:color w:val="0070C0"/>
          <w:sz w:val="18"/>
          <w:szCs w:val="21"/>
        </w:rPr>
      </w:pPr>
      <w:r w:rsidRPr="00BB24C9">
        <w:rPr>
          <w:rFonts w:asciiTheme="minorEastAsia" w:eastAsiaTheme="minorEastAsia" w:hAnsiTheme="minorEastAsia" w:cs="Arial Unicode MS" w:hint="eastAsia"/>
          <w:i/>
          <w:iCs/>
          <w:color w:val="0070C0"/>
          <w:sz w:val="18"/>
          <w:szCs w:val="21"/>
        </w:rPr>
        <w:t xml:space="preserve">（参考：女性活躍推進法特集ページ　</w:t>
      </w:r>
      <w:hyperlink r:id="rId7" w:history="1">
        <w:r w:rsidRPr="00BB24C9">
          <w:rPr>
            <w:rStyle w:val="afffd"/>
            <w:rFonts w:asciiTheme="minorEastAsia" w:eastAsiaTheme="minorEastAsia" w:hAnsiTheme="minorEastAsia"/>
            <w:i/>
            <w:iCs/>
            <w:color w:val="0070C0"/>
            <w:sz w:val="18"/>
            <w:szCs w:val="21"/>
          </w:rPr>
          <w:t>https://www.mhlw.go.jp/stf/seisakunitsuite/bunya/0000091025.html</w:t>
        </w:r>
      </w:hyperlink>
      <w:r w:rsidRPr="00BB24C9">
        <w:rPr>
          <w:rFonts w:asciiTheme="minorEastAsia" w:eastAsiaTheme="minorEastAsia" w:hAnsiTheme="minorEastAsia" w:hint="eastAsia"/>
          <w:i/>
          <w:iCs/>
          <w:color w:val="0070C0"/>
          <w:sz w:val="18"/>
          <w:szCs w:val="21"/>
        </w:rPr>
        <w:t>）</w:t>
      </w:r>
    </w:p>
    <w:tbl>
      <w:tblPr>
        <w:tblStyle w:val="affff2"/>
        <w:tblW w:w="10207" w:type="dxa"/>
        <w:jc w:val="center"/>
        <w:tblLook w:val="04A0" w:firstRow="1" w:lastRow="0" w:firstColumn="1" w:lastColumn="0" w:noHBand="0" w:noVBand="1"/>
      </w:tblPr>
      <w:tblGrid>
        <w:gridCol w:w="4080"/>
        <w:gridCol w:w="6127"/>
      </w:tblGrid>
      <w:tr w:rsidR="00BB24C9" w:rsidRPr="00BB24C9" w14:paraId="7664BC89" w14:textId="77777777" w:rsidTr="00360B02">
        <w:trPr>
          <w:trHeight w:val="229"/>
          <w:jc w:val="center"/>
        </w:trPr>
        <w:tc>
          <w:tcPr>
            <w:tcW w:w="10207" w:type="dxa"/>
            <w:gridSpan w:val="2"/>
            <w:vAlign w:val="center"/>
          </w:tcPr>
          <w:p w14:paraId="04095DEB" w14:textId="77777777" w:rsidR="00360B02" w:rsidRPr="00BB24C9" w:rsidRDefault="00360B02" w:rsidP="00823A9F">
            <w:pPr>
              <w:pStyle w:val="affff3"/>
              <w:ind w:leftChars="0" w:left="0" w:firstLine="245"/>
              <w:jc w:val="cente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認定等の区分</w:t>
            </w:r>
          </w:p>
        </w:tc>
      </w:tr>
      <w:tr w:rsidR="00BB24C9" w:rsidRPr="00BB24C9" w14:paraId="69F5DC71" w14:textId="77777777" w:rsidTr="00360B02">
        <w:trPr>
          <w:trHeight w:val="271"/>
          <w:jc w:val="center"/>
        </w:trPr>
        <w:tc>
          <w:tcPr>
            <w:tcW w:w="4080" w:type="dxa"/>
            <w:vMerge w:val="restart"/>
            <w:vAlign w:val="center"/>
          </w:tcPr>
          <w:p w14:paraId="11A1CE8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女性の職業生活における活躍の推進に関する法律（女性活躍推進法）に基づく認定</w:t>
            </w:r>
          </w:p>
          <w:p w14:paraId="077BF2B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（えるぼし認定企業・プラチナえるぼし認定企業）</w:t>
            </w:r>
          </w:p>
        </w:tc>
        <w:tc>
          <w:tcPr>
            <w:tcW w:w="6126" w:type="dxa"/>
            <w:vAlign w:val="center"/>
          </w:tcPr>
          <w:p w14:paraId="391B5E1A"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プラチナえるぼし</w:t>
            </w:r>
            <w:r w:rsidRPr="00BB24C9">
              <w:rPr>
                <w:rFonts w:asciiTheme="majorEastAsia" w:eastAsiaTheme="majorEastAsia" w:hAnsiTheme="majorEastAsia" w:hint="eastAsia"/>
                <w:i/>
                <w:iCs/>
                <w:color w:val="0070C0"/>
                <w:sz w:val="18"/>
                <w:szCs w:val="18"/>
                <w:vertAlign w:val="superscript"/>
              </w:rPr>
              <w:t>※1</w:t>
            </w:r>
          </w:p>
        </w:tc>
      </w:tr>
      <w:tr w:rsidR="00BB24C9" w:rsidRPr="00BB24C9" w14:paraId="6519C619" w14:textId="77777777" w:rsidTr="00360B02">
        <w:trPr>
          <w:trHeight w:val="57"/>
          <w:jc w:val="center"/>
        </w:trPr>
        <w:tc>
          <w:tcPr>
            <w:tcW w:w="4080" w:type="dxa"/>
            <w:vMerge/>
            <w:vAlign w:val="center"/>
          </w:tcPr>
          <w:p w14:paraId="1816C27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3C2EA918" w14:textId="77777777" w:rsidR="00360B02" w:rsidRPr="00BB24C9" w:rsidRDefault="00360B02" w:rsidP="00823A9F">
            <w:pP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3段階目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5E7E2A26" w14:textId="77777777" w:rsidTr="00360B02">
        <w:trPr>
          <w:trHeight w:val="57"/>
          <w:jc w:val="center"/>
        </w:trPr>
        <w:tc>
          <w:tcPr>
            <w:tcW w:w="4080" w:type="dxa"/>
            <w:vMerge/>
            <w:vAlign w:val="center"/>
          </w:tcPr>
          <w:p w14:paraId="28D198C1"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0BDDFEA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2段階目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75E56138" w14:textId="77777777" w:rsidTr="00360B02">
        <w:trPr>
          <w:trHeight w:val="57"/>
          <w:jc w:val="center"/>
        </w:trPr>
        <w:tc>
          <w:tcPr>
            <w:tcW w:w="4080" w:type="dxa"/>
            <w:vMerge/>
            <w:vAlign w:val="center"/>
          </w:tcPr>
          <w:p w14:paraId="2923CE7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DB4A330"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1段階目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061442AE" w14:textId="77777777" w:rsidTr="00360B02">
        <w:trPr>
          <w:trHeight w:val="57"/>
          <w:jc w:val="center"/>
        </w:trPr>
        <w:tc>
          <w:tcPr>
            <w:tcW w:w="4080" w:type="dxa"/>
            <w:vMerge/>
            <w:vAlign w:val="center"/>
          </w:tcPr>
          <w:p w14:paraId="7BCF9A0D"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6655D689" w14:textId="77777777" w:rsidR="00360B02" w:rsidRPr="00BB24C9" w:rsidRDefault="00360B02" w:rsidP="00823A9F">
            <w:pPr>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行動計画</w:t>
            </w:r>
            <w:r w:rsidRPr="00BB24C9">
              <w:rPr>
                <w:rFonts w:asciiTheme="majorEastAsia" w:eastAsiaTheme="majorEastAsia" w:hAnsiTheme="majorEastAsia" w:hint="eastAsia"/>
                <w:i/>
                <w:iCs/>
                <w:color w:val="0070C0"/>
                <w:sz w:val="18"/>
                <w:szCs w:val="18"/>
                <w:vertAlign w:val="superscript"/>
              </w:rPr>
              <w:t>※3</w:t>
            </w:r>
          </w:p>
        </w:tc>
      </w:tr>
      <w:tr w:rsidR="00BB24C9" w:rsidRPr="00BB24C9" w14:paraId="2F0399C0" w14:textId="77777777" w:rsidTr="00360B02">
        <w:trPr>
          <w:trHeight w:val="296"/>
          <w:jc w:val="center"/>
        </w:trPr>
        <w:tc>
          <w:tcPr>
            <w:tcW w:w="4080" w:type="dxa"/>
            <w:vMerge w:val="restart"/>
            <w:vAlign w:val="center"/>
          </w:tcPr>
          <w:p w14:paraId="524EB8D2"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次世代育成支援対策推進法（次世代法）に基づく認定</w:t>
            </w:r>
          </w:p>
          <w:p w14:paraId="31151F3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（くるみん認定企業・プラチナくるみん認定企業・トライくるみん認定企業）</w:t>
            </w:r>
          </w:p>
        </w:tc>
        <w:tc>
          <w:tcPr>
            <w:tcW w:w="6126" w:type="dxa"/>
            <w:vAlign w:val="center"/>
          </w:tcPr>
          <w:p w14:paraId="125A588B"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プラチナくるみん</w:t>
            </w:r>
            <w:r w:rsidRPr="00BB24C9">
              <w:rPr>
                <w:rFonts w:asciiTheme="majorEastAsia" w:eastAsiaTheme="majorEastAsia" w:hAnsiTheme="majorEastAsia" w:hint="eastAsia"/>
                <w:i/>
                <w:iCs/>
                <w:color w:val="0070C0"/>
                <w:sz w:val="18"/>
                <w:szCs w:val="18"/>
                <w:vertAlign w:val="superscript"/>
              </w:rPr>
              <w:t>※4</w:t>
            </w:r>
          </w:p>
        </w:tc>
      </w:tr>
      <w:tr w:rsidR="00BB24C9" w:rsidRPr="00BB24C9" w14:paraId="12000938" w14:textId="77777777" w:rsidTr="00360B02">
        <w:trPr>
          <w:trHeight w:val="91"/>
          <w:jc w:val="center"/>
        </w:trPr>
        <w:tc>
          <w:tcPr>
            <w:tcW w:w="4080" w:type="dxa"/>
            <w:vMerge/>
            <w:vAlign w:val="center"/>
          </w:tcPr>
          <w:p w14:paraId="382E18A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B7426C4"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くるみん（令和4年4月1日以降の基準）</w:t>
            </w:r>
            <w:r w:rsidRPr="00BB24C9">
              <w:rPr>
                <w:rFonts w:asciiTheme="majorEastAsia" w:eastAsiaTheme="majorEastAsia" w:hAnsiTheme="majorEastAsia" w:hint="eastAsia"/>
                <w:i/>
                <w:iCs/>
                <w:color w:val="0070C0"/>
                <w:sz w:val="18"/>
                <w:szCs w:val="18"/>
                <w:vertAlign w:val="superscript"/>
              </w:rPr>
              <w:t>※5</w:t>
            </w:r>
          </w:p>
        </w:tc>
      </w:tr>
      <w:tr w:rsidR="00BB24C9" w:rsidRPr="00BB24C9" w14:paraId="67640CB1" w14:textId="77777777" w:rsidTr="00360B02">
        <w:trPr>
          <w:trHeight w:val="91"/>
          <w:jc w:val="center"/>
        </w:trPr>
        <w:tc>
          <w:tcPr>
            <w:tcW w:w="4080" w:type="dxa"/>
            <w:vMerge/>
            <w:vAlign w:val="center"/>
          </w:tcPr>
          <w:p w14:paraId="266E5EEB"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733C3256"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くるみん（平成29年4月1日～令和4年3月31日までの基準）</w:t>
            </w:r>
            <w:r w:rsidRPr="00BB24C9">
              <w:rPr>
                <w:rFonts w:asciiTheme="majorEastAsia" w:eastAsiaTheme="majorEastAsia" w:hAnsiTheme="majorEastAsia" w:hint="eastAsia"/>
                <w:i/>
                <w:iCs/>
                <w:color w:val="0070C0"/>
                <w:sz w:val="18"/>
                <w:szCs w:val="18"/>
                <w:vertAlign w:val="superscript"/>
              </w:rPr>
              <w:t>※6</w:t>
            </w:r>
          </w:p>
        </w:tc>
      </w:tr>
      <w:tr w:rsidR="00BB24C9" w:rsidRPr="00BB24C9" w14:paraId="3FE3D6B1" w14:textId="77777777" w:rsidTr="00360B02">
        <w:trPr>
          <w:trHeight w:val="91"/>
          <w:jc w:val="center"/>
        </w:trPr>
        <w:tc>
          <w:tcPr>
            <w:tcW w:w="4080" w:type="dxa"/>
            <w:vMerge/>
            <w:vAlign w:val="center"/>
          </w:tcPr>
          <w:p w14:paraId="0447E175"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4A10258"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トライくるみん</w:t>
            </w:r>
            <w:r w:rsidRPr="00BB24C9">
              <w:rPr>
                <w:rFonts w:asciiTheme="majorEastAsia" w:eastAsiaTheme="majorEastAsia" w:hAnsiTheme="majorEastAsia" w:hint="eastAsia"/>
                <w:i/>
                <w:iCs/>
                <w:color w:val="0070C0"/>
                <w:sz w:val="18"/>
                <w:szCs w:val="18"/>
                <w:vertAlign w:val="superscript"/>
              </w:rPr>
              <w:t>※7</w:t>
            </w:r>
          </w:p>
        </w:tc>
      </w:tr>
      <w:tr w:rsidR="00BB24C9" w:rsidRPr="00BB24C9" w14:paraId="5D55B9BD" w14:textId="77777777" w:rsidTr="00360B02">
        <w:trPr>
          <w:trHeight w:val="135"/>
          <w:jc w:val="center"/>
        </w:trPr>
        <w:tc>
          <w:tcPr>
            <w:tcW w:w="4080" w:type="dxa"/>
            <w:vMerge/>
            <w:vAlign w:val="center"/>
          </w:tcPr>
          <w:p w14:paraId="22B00D4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6FA59D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くるみん（平成29年3月31日までの基準）</w:t>
            </w:r>
            <w:r w:rsidRPr="00BB24C9">
              <w:rPr>
                <w:rFonts w:asciiTheme="majorEastAsia" w:eastAsiaTheme="majorEastAsia" w:hAnsiTheme="majorEastAsia" w:hint="eastAsia"/>
                <w:i/>
                <w:iCs/>
                <w:color w:val="0070C0"/>
                <w:sz w:val="18"/>
                <w:szCs w:val="18"/>
                <w:vertAlign w:val="superscript"/>
              </w:rPr>
              <w:t>※8</w:t>
            </w:r>
          </w:p>
        </w:tc>
      </w:tr>
      <w:tr w:rsidR="00BB24C9" w:rsidRPr="00BB24C9" w14:paraId="31601C11" w14:textId="77777777" w:rsidTr="00360B02">
        <w:trPr>
          <w:trHeight w:val="219"/>
          <w:jc w:val="center"/>
        </w:trPr>
        <w:tc>
          <w:tcPr>
            <w:tcW w:w="10207" w:type="dxa"/>
            <w:gridSpan w:val="2"/>
            <w:vAlign w:val="center"/>
          </w:tcPr>
          <w:p w14:paraId="3CC374AE" w14:textId="77777777" w:rsidR="00360B02" w:rsidRPr="00BB24C9" w:rsidRDefault="00360B02" w:rsidP="00360B02">
            <w:pPr>
              <w:ind w:left="22" w:hanging="11"/>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青少年の雇用の促進等に関する法律（若者雇用促進法）に基づく認定（ユースエール認定企業）</w:t>
            </w:r>
          </w:p>
        </w:tc>
      </w:tr>
    </w:tbl>
    <w:p w14:paraId="4F217E6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※2：女性活躍推進法第9条に基づく認定。なお、労働時間等の働き方に係る基準は満たすことが必要。</w:t>
      </w:r>
    </w:p>
    <w:p w14:paraId="68E8C6A9"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※3：常時雇用する労働者の数が100 人以下の事業主に限る（計画期間が満了していない行動計画を策定している場合のみ）。</w:t>
      </w:r>
    </w:p>
    <w:p w14:paraId="451A208E"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※4：次世代法第15条の2の規定に基づく認定</w:t>
      </w:r>
    </w:p>
    <w:p w14:paraId="165FB54A"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6EB5953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※6：次世代法第13条の規定に基づく認定のうち、令和3年改正省令による改正前の次世代育成支援対策推進法施行規則第4条又は令和3年改正省令附則第2条第2項の規定に基づく認定（ただし、※</w:t>
      </w:r>
      <w:r w:rsidR="001B315C">
        <w:rPr>
          <w:rFonts w:ascii="ＭＳ 明朝" w:hAnsi="ＭＳ 明朝" w:hint="eastAsia"/>
          <w:i/>
          <w:iCs/>
          <w:color w:val="0070C0"/>
          <w:sz w:val="18"/>
          <w:szCs w:val="18"/>
        </w:rPr>
        <w:t>8</w:t>
      </w:r>
      <w:r w:rsidRPr="00BB24C9">
        <w:rPr>
          <w:rFonts w:ascii="ＭＳ 明朝" w:hAnsi="ＭＳ 明朝" w:hint="eastAsia"/>
          <w:i/>
          <w:iCs/>
          <w:color w:val="0070C0"/>
          <w:sz w:val="18"/>
          <w:szCs w:val="18"/>
        </w:rPr>
        <w:t>の認定を除く。）</w:t>
      </w:r>
    </w:p>
    <w:p w14:paraId="6ABFF7F8" w14:textId="77777777" w:rsidR="00AC7A3D" w:rsidRPr="00BB24C9" w:rsidRDefault="00360B02" w:rsidP="00AC7A3D">
      <w:pPr>
        <w:spacing w:line="240" w:lineRule="exact"/>
        <w:ind w:leftChars="-67" w:left="-141"/>
        <w:rPr>
          <w:rFonts w:ascii="ＭＳ 明朝" w:hAnsi="ＭＳ 明朝"/>
          <w:i/>
          <w:iCs/>
          <w:color w:val="0070C0"/>
          <w:sz w:val="18"/>
          <w:szCs w:val="18"/>
        </w:rPr>
      </w:pPr>
      <w:r w:rsidRPr="00BB24C9">
        <w:rPr>
          <w:rFonts w:ascii="ＭＳ 明朝" w:hAnsi="ＭＳ 明朝" w:hint="eastAsia"/>
          <w:i/>
          <w:iCs/>
          <w:color w:val="0070C0"/>
          <w:sz w:val="18"/>
          <w:szCs w:val="18"/>
        </w:rPr>
        <w:t>※7：次世代法第13条の規定に基づく認定のうち、新施行規則第4条第1項第3号及び第4号の規定に基づく認定</w:t>
      </w:r>
    </w:p>
    <w:p w14:paraId="53C65C3D" w14:textId="5C45F66D" w:rsidR="00DE61DD" w:rsidRPr="00BB24C9" w:rsidRDefault="00AC7A3D" w:rsidP="001C513E">
      <w:pPr>
        <w:spacing w:line="240" w:lineRule="exact"/>
        <w:ind w:leftChars="-67" w:left="283" w:hanging="424"/>
        <w:rPr>
          <w:i/>
          <w:iCs/>
          <w:color w:val="0070C0"/>
        </w:rPr>
      </w:pPr>
      <w:r w:rsidRPr="00BB24C9">
        <w:rPr>
          <w:rFonts w:ascii="ＭＳ 明朝" w:hAnsi="ＭＳ 明朝" w:hint="eastAsia"/>
          <w:i/>
          <w:iCs/>
          <w:color w:val="0070C0"/>
          <w:sz w:val="18"/>
          <w:szCs w:val="18"/>
        </w:rPr>
        <w:t>※8：次世代法第13条の規定に基づく認定のうち、次世代育成支援対策推進法施行規則等の一部を改正する省令（平成29年</w:t>
      </w:r>
      <w:r w:rsidRPr="00BB24C9">
        <w:rPr>
          <w:rFonts w:ascii="ＭＳ 明朝" w:hAnsi="ＭＳ 明朝" w:hint="eastAsia"/>
          <w:i/>
          <w:iCs/>
          <w:color w:val="0070C0"/>
          <w:sz w:val="18"/>
          <w:szCs w:val="18"/>
        </w:rPr>
        <w:lastRenderedPageBreak/>
        <w:t>厚生労働省令第31号。以下「平成29年改正省令」という。）による改正前の次世代育成支援対策推進法施行規則第4条又は平成29年改正省令附則第2条第3項の規定に基づく認定</w:t>
      </w:r>
      <w:bookmarkEnd w:id="0"/>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95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7DE"/>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3985"/>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C0"/>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53AF"/>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D7D57"/>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1C0"/>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5E9"/>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7A4"/>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1441</Words>
  <Characters>240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