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2424448C" w14:textId="7777777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77777777"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ました。</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6D8FA16" w14:textId="629746D3"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8E2491">
        <w:rPr>
          <w:rFonts w:asciiTheme="minorEastAsia" w:eastAsiaTheme="minorEastAsia" w:hAnsiTheme="minorEastAsia" w:hint="eastAsia"/>
        </w:rPr>
        <w:t>助成</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7C558DCC"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7777777" w:rsidR="00A16363" w:rsidRDefault="00A16363" w:rsidP="00AC7A3D">
      <w:pPr>
        <w:jc w:val="left"/>
        <w:rPr>
          <w:rFonts w:asciiTheme="minorEastAsia" w:eastAsiaTheme="minorEastAsia" w:hAnsiTheme="minorEastAsia" w:cs="Arial Unicode MS"/>
          <w:i/>
          <w:iCs/>
          <w:color w:val="0070C0"/>
          <w:sz w:val="18"/>
          <w:szCs w:val="21"/>
        </w:rPr>
      </w:pPr>
    </w:p>
    <w:p w14:paraId="41AF386E" w14:textId="1F2B72AB" w:rsidR="00360B02" w:rsidRPr="005D78B5" w:rsidRDefault="00360B02" w:rsidP="00AC7A3D">
      <w:pPr>
        <w:jc w:val="left"/>
        <w:rPr>
          <w:rFonts w:asciiTheme="minorEastAsia" w:eastAsiaTheme="minorEastAsia" w:hAnsiTheme="minorEastAsia" w:cs="Arial Unicode MS"/>
          <w:i/>
          <w:iCs/>
          <w:color w:val="000000" w:themeColor="text1"/>
          <w:sz w:val="18"/>
          <w:szCs w:val="21"/>
        </w:rPr>
      </w:pPr>
      <w:r w:rsidRPr="005D78B5">
        <w:rPr>
          <w:rFonts w:asciiTheme="minorEastAsia" w:eastAsiaTheme="minorEastAsia" w:hAnsiTheme="minorEastAsia" w:cs="Arial Unicode MS" w:hint="eastAsia"/>
          <w:i/>
          <w:iCs/>
          <w:color w:val="000000" w:themeColor="text1"/>
          <w:sz w:val="18"/>
          <w:szCs w:val="21"/>
        </w:rPr>
        <w:t>【加点対象認定】</w:t>
      </w:r>
    </w:p>
    <w:p w14:paraId="7A149E49" w14:textId="77777777" w:rsidR="00360B02" w:rsidRPr="005D78B5" w:rsidRDefault="00360B02" w:rsidP="00AC7A3D">
      <w:pPr>
        <w:jc w:val="left"/>
        <w:rPr>
          <w:rFonts w:asciiTheme="minorEastAsia" w:eastAsiaTheme="minorEastAsia" w:hAnsiTheme="minorEastAsia"/>
          <w:i/>
          <w:iCs/>
          <w:color w:val="000000" w:themeColor="text1"/>
          <w:sz w:val="18"/>
          <w:szCs w:val="21"/>
        </w:rPr>
      </w:pPr>
      <w:r w:rsidRPr="005D78B5">
        <w:rPr>
          <w:rFonts w:asciiTheme="minorEastAsia" w:eastAsiaTheme="minorEastAsia" w:hAnsiTheme="minorEastAsia" w:cs="Arial Unicode MS" w:hint="eastAsia"/>
          <w:i/>
          <w:iCs/>
          <w:color w:val="000000" w:themeColor="text1"/>
          <w:sz w:val="18"/>
          <w:szCs w:val="21"/>
        </w:rPr>
        <w:t xml:space="preserve">（参考：女性活躍推進法特集ページ　</w:t>
      </w:r>
      <w:hyperlink r:id="rId8" w:history="1">
        <w:r w:rsidRPr="005D78B5">
          <w:rPr>
            <w:rStyle w:val="afffd"/>
            <w:rFonts w:asciiTheme="minorEastAsia" w:eastAsiaTheme="minorEastAsia" w:hAnsiTheme="minorEastAsia"/>
            <w:i/>
            <w:iCs/>
            <w:color w:val="000000" w:themeColor="text1"/>
            <w:sz w:val="18"/>
            <w:szCs w:val="21"/>
          </w:rPr>
          <w:t>https://www.mhlw.go.jp/stf/seisakunitsuite/bunya/0000091025.html</w:t>
        </w:r>
      </w:hyperlink>
      <w:r w:rsidRPr="005D78B5">
        <w:rPr>
          <w:rFonts w:asciiTheme="minorEastAsia" w:eastAsiaTheme="minorEastAsia" w:hAnsiTheme="minorEastAsia" w:hint="eastAsia"/>
          <w:i/>
          <w:iCs/>
          <w:color w:val="000000" w:themeColor="text1"/>
          <w:sz w:val="18"/>
          <w:szCs w:val="21"/>
        </w:rPr>
        <w:t>）</w:t>
      </w:r>
    </w:p>
    <w:tbl>
      <w:tblPr>
        <w:tblStyle w:val="affff2"/>
        <w:tblW w:w="10207" w:type="dxa"/>
        <w:jc w:val="center"/>
        <w:tblLook w:val="04A0" w:firstRow="1" w:lastRow="0" w:firstColumn="1" w:lastColumn="0" w:noHBand="0" w:noVBand="1"/>
      </w:tblPr>
      <w:tblGrid>
        <w:gridCol w:w="4080"/>
        <w:gridCol w:w="6127"/>
      </w:tblGrid>
      <w:tr w:rsidR="005D78B5" w:rsidRPr="005D78B5" w14:paraId="7664BC89" w14:textId="77777777" w:rsidTr="00360B02">
        <w:trPr>
          <w:trHeight w:val="229"/>
          <w:jc w:val="center"/>
        </w:trPr>
        <w:tc>
          <w:tcPr>
            <w:tcW w:w="10207" w:type="dxa"/>
            <w:gridSpan w:val="2"/>
            <w:vAlign w:val="center"/>
          </w:tcPr>
          <w:p w14:paraId="04095DEB" w14:textId="77777777" w:rsidR="00360B02" w:rsidRPr="005D78B5" w:rsidRDefault="00360B02" w:rsidP="00823A9F">
            <w:pPr>
              <w:pStyle w:val="affff3"/>
              <w:ind w:leftChars="0" w:left="0" w:firstLine="245"/>
              <w:jc w:val="center"/>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認定等の区分</w:t>
            </w:r>
          </w:p>
        </w:tc>
      </w:tr>
      <w:tr w:rsidR="005D78B5" w:rsidRPr="005D78B5" w14:paraId="69F5DC71" w14:textId="77777777" w:rsidTr="00360B02">
        <w:trPr>
          <w:trHeight w:val="271"/>
          <w:jc w:val="center"/>
        </w:trPr>
        <w:tc>
          <w:tcPr>
            <w:tcW w:w="4080" w:type="dxa"/>
            <w:vMerge w:val="restart"/>
            <w:vAlign w:val="center"/>
          </w:tcPr>
          <w:p w14:paraId="11A1CE81"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女性の職業生活における活躍の推進に関する法律（女性活躍推進法）に基づく認定</w:t>
            </w:r>
          </w:p>
          <w:p w14:paraId="077BF2B9"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（えるぼし認定企業・プラチナえるぼし認定企業）</w:t>
            </w:r>
          </w:p>
        </w:tc>
        <w:tc>
          <w:tcPr>
            <w:tcW w:w="6126" w:type="dxa"/>
            <w:vAlign w:val="center"/>
          </w:tcPr>
          <w:p w14:paraId="391B5E1A"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vertAlign w:val="superscript"/>
              </w:rPr>
            </w:pPr>
            <w:r w:rsidRPr="005D78B5">
              <w:rPr>
                <w:rFonts w:asciiTheme="majorEastAsia" w:eastAsiaTheme="majorEastAsia" w:hAnsiTheme="majorEastAsia" w:hint="eastAsia"/>
                <w:i/>
                <w:iCs/>
                <w:color w:val="000000" w:themeColor="text1"/>
                <w:sz w:val="18"/>
                <w:szCs w:val="18"/>
              </w:rPr>
              <w:t>プラチナえるぼし</w:t>
            </w:r>
            <w:r w:rsidRPr="005D78B5">
              <w:rPr>
                <w:rFonts w:asciiTheme="majorEastAsia" w:eastAsiaTheme="majorEastAsia" w:hAnsiTheme="majorEastAsia" w:hint="eastAsia"/>
                <w:i/>
                <w:iCs/>
                <w:color w:val="000000" w:themeColor="text1"/>
                <w:sz w:val="18"/>
                <w:szCs w:val="18"/>
                <w:vertAlign w:val="superscript"/>
              </w:rPr>
              <w:t>※1</w:t>
            </w:r>
          </w:p>
        </w:tc>
      </w:tr>
      <w:tr w:rsidR="005D78B5" w:rsidRPr="005D78B5" w14:paraId="6519C619" w14:textId="77777777" w:rsidTr="00360B02">
        <w:trPr>
          <w:trHeight w:val="57"/>
          <w:jc w:val="center"/>
        </w:trPr>
        <w:tc>
          <w:tcPr>
            <w:tcW w:w="4080" w:type="dxa"/>
            <w:vMerge/>
            <w:vAlign w:val="center"/>
          </w:tcPr>
          <w:p w14:paraId="1816C274"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3C2EA918" w14:textId="77777777" w:rsidR="00360B02" w:rsidRPr="005D78B5" w:rsidRDefault="00360B02" w:rsidP="00823A9F">
            <w:pPr>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3段階目</w:t>
            </w:r>
            <w:r w:rsidRPr="005D78B5">
              <w:rPr>
                <w:rFonts w:asciiTheme="majorEastAsia" w:eastAsiaTheme="majorEastAsia" w:hAnsiTheme="majorEastAsia" w:hint="eastAsia"/>
                <w:i/>
                <w:iCs/>
                <w:color w:val="000000" w:themeColor="text1"/>
                <w:sz w:val="18"/>
                <w:szCs w:val="18"/>
                <w:vertAlign w:val="superscript"/>
              </w:rPr>
              <w:t>※2</w:t>
            </w:r>
          </w:p>
        </w:tc>
      </w:tr>
      <w:tr w:rsidR="005D78B5" w:rsidRPr="005D78B5" w14:paraId="5E7E2A26" w14:textId="77777777" w:rsidTr="00360B02">
        <w:trPr>
          <w:trHeight w:val="57"/>
          <w:jc w:val="center"/>
        </w:trPr>
        <w:tc>
          <w:tcPr>
            <w:tcW w:w="4080" w:type="dxa"/>
            <w:vMerge/>
            <w:vAlign w:val="center"/>
          </w:tcPr>
          <w:p w14:paraId="28D198C1"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0BDDFEA1"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2段階目</w:t>
            </w:r>
            <w:r w:rsidRPr="005D78B5">
              <w:rPr>
                <w:rFonts w:asciiTheme="majorEastAsia" w:eastAsiaTheme="majorEastAsia" w:hAnsiTheme="majorEastAsia" w:hint="eastAsia"/>
                <w:i/>
                <w:iCs/>
                <w:color w:val="000000" w:themeColor="text1"/>
                <w:sz w:val="18"/>
                <w:szCs w:val="18"/>
                <w:vertAlign w:val="superscript"/>
              </w:rPr>
              <w:t>※2</w:t>
            </w:r>
          </w:p>
        </w:tc>
      </w:tr>
      <w:tr w:rsidR="005D78B5" w:rsidRPr="005D78B5" w14:paraId="75E56138" w14:textId="77777777" w:rsidTr="00360B02">
        <w:trPr>
          <w:trHeight w:val="57"/>
          <w:jc w:val="center"/>
        </w:trPr>
        <w:tc>
          <w:tcPr>
            <w:tcW w:w="4080" w:type="dxa"/>
            <w:vMerge/>
            <w:vAlign w:val="center"/>
          </w:tcPr>
          <w:p w14:paraId="2923CE78"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5DB4A330"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1段階目</w:t>
            </w:r>
            <w:r w:rsidRPr="005D78B5">
              <w:rPr>
                <w:rFonts w:asciiTheme="majorEastAsia" w:eastAsiaTheme="majorEastAsia" w:hAnsiTheme="majorEastAsia" w:hint="eastAsia"/>
                <w:i/>
                <w:iCs/>
                <w:color w:val="000000" w:themeColor="text1"/>
                <w:sz w:val="18"/>
                <w:szCs w:val="18"/>
                <w:vertAlign w:val="superscript"/>
              </w:rPr>
              <w:t>※2</w:t>
            </w:r>
          </w:p>
        </w:tc>
      </w:tr>
      <w:tr w:rsidR="005D78B5" w:rsidRPr="005D78B5" w14:paraId="061442AE" w14:textId="77777777" w:rsidTr="00360B02">
        <w:trPr>
          <w:trHeight w:val="57"/>
          <w:jc w:val="center"/>
        </w:trPr>
        <w:tc>
          <w:tcPr>
            <w:tcW w:w="4080" w:type="dxa"/>
            <w:vMerge/>
            <w:vAlign w:val="center"/>
          </w:tcPr>
          <w:p w14:paraId="7BCF9A0D"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6655D689" w14:textId="77777777" w:rsidR="00360B02" w:rsidRPr="005D78B5" w:rsidRDefault="00360B02" w:rsidP="00823A9F">
            <w:pPr>
              <w:rPr>
                <w:rFonts w:asciiTheme="majorEastAsia" w:eastAsiaTheme="majorEastAsia" w:hAnsiTheme="majorEastAsia"/>
                <w:i/>
                <w:iCs/>
                <w:color w:val="000000" w:themeColor="text1"/>
                <w:sz w:val="18"/>
                <w:szCs w:val="18"/>
                <w:vertAlign w:val="superscript"/>
              </w:rPr>
            </w:pPr>
            <w:r w:rsidRPr="005D78B5">
              <w:rPr>
                <w:rFonts w:asciiTheme="majorEastAsia" w:eastAsiaTheme="majorEastAsia" w:hAnsiTheme="majorEastAsia" w:hint="eastAsia"/>
                <w:i/>
                <w:iCs/>
                <w:color w:val="000000" w:themeColor="text1"/>
                <w:sz w:val="18"/>
                <w:szCs w:val="18"/>
              </w:rPr>
              <w:t>行動計画</w:t>
            </w:r>
            <w:r w:rsidRPr="005D78B5">
              <w:rPr>
                <w:rFonts w:asciiTheme="majorEastAsia" w:eastAsiaTheme="majorEastAsia" w:hAnsiTheme="majorEastAsia" w:hint="eastAsia"/>
                <w:i/>
                <w:iCs/>
                <w:color w:val="000000" w:themeColor="text1"/>
                <w:sz w:val="18"/>
                <w:szCs w:val="18"/>
                <w:vertAlign w:val="superscript"/>
              </w:rPr>
              <w:t>※3</w:t>
            </w:r>
          </w:p>
        </w:tc>
      </w:tr>
      <w:tr w:rsidR="005D78B5" w:rsidRPr="005D78B5" w14:paraId="2F0399C0" w14:textId="77777777" w:rsidTr="00360B02">
        <w:trPr>
          <w:trHeight w:val="296"/>
          <w:jc w:val="center"/>
        </w:trPr>
        <w:tc>
          <w:tcPr>
            <w:tcW w:w="4080" w:type="dxa"/>
            <w:vMerge w:val="restart"/>
            <w:vAlign w:val="center"/>
          </w:tcPr>
          <w:p w14:paraId="524EB8D2"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次世代育成支援対策推進法（次世代法）に基づく認定</w:t>
            </w:r>
          </w:p>
          <w:p w14:paraId="31151F31"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（くるみん認定企業・プラチナくるみん認定企業・トライくるみん認定企業）</w:t>
            </w:r>
          </w:p>
        </w:tc>
        <w:tc>
          <w:tcPr>
            <w:tcW w:w="6126" w:type="dxa"/>
            <w:vAlign w:val="center"/>
          </w:tcPr>
          <w:p w14:paraId="125A588B"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vertAlign w:val="superscript"/>
              </w:rPr>
            </w:pPr>
            <w:r w:rsidRPr="005D78B5">
              <w:rPr>
                <w:rFonts w:asciiTheme="majorEastAsia" w:eastAsiaTheme="majorEastAsia" w:hAnsiTheme="majorEastAsia" w:hint="eastAsia"/>
                <w:i/>
                <w:iCs/>
                <w:color w:val="000000" w:themeColor="text1"/>
                <w:sz w:val="18"/>
                <w:szCs w:val="18"/>
              </w:rPr>
              <w:t>プラチナくるみん</w:t>
            </w:r>
            <w:r w:rsidRPr="005D78B5">
              <w:rPr>
                <w:rFonts w:asciiTheme="majorEastAsia" w:eastAsiaTheme="majorEastAsia" w:hAnsiTheme="majorEastAsia" w:hint="eastAsia"/>
                <w:i/>
                <w:iCs/>
                <w:color w:val="000000" w:themeColor="text1"/>
                <w:sz w:val="18"/>
                <w:szCs w:val="18"/>
                <w:vertAlign w:val="superscript"/>
              </w:rPr>
              <w:t>※4</w:t>
            </w:r>
          </w:p>
        </w:tc>
      </w:tr>
      <w:tr w:rsidR="005D78B5" w:rsidRPr="005D78B5" w14:paraId="12000938" w14:textId="77777777" w:rsidTr="00360B02">
        <w:trPr>
          <w:trHeight w:val="91"/>
          <w:jc w:val="center"/>
        </w:trPr>
        <w:tc>
          <w:tcPr>
            <w:tcW w:w="4080" w:type="dxa"/>
            <w:vMerge/>
            <w:vAlign w:val="center"/>
          </w:tcPr>
          <w:p w14:paraId="382E18A4"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5B7426C4"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くるみん（令和4年4月1日以降の基準）</w:t>
            </w:r>
            <w:r w:rsidRPr="005D78B5">
              <w:rPr>
                <w:rFonts w:asciiTheme="majorEastAsia" w:eastAsiaTheme="majorEastAsia" w:hAnsiTheme="majorEastAsia" w:hint="eastAsia"/>
                <w:i/>
                <w:iCs/>
                <w:color w:val="000000" w:themeColor="text1"/>
                <w:sz w:val="18"/>
                <w:szCs w:val="18"/>
                <w:vertAlign w:val="superscript"/>
              </w:rPr>
              <w:t>※5</w:t>
            </w:r>
          </w:p>
        </w:tc>
      </w:tr>
      <w:tr w:rsidR="005D78B5" w:rsidRPr="005D78B5" w14:paraId="67640CB1" w14:textId="77777777" w:rsidTr="00360B02">
        <w:trPr>
          <w:trHeight w:val="91"/>
          <w:jc w:val="center"/>
        </w:trPr>
        <w:tc>
          <w:tcPr>
            <w:tcW w:w="4080" w:type="dxa"/>
            <w:vMerge/>
            <w:vAlign w:val="center"/>
          </w:tcPr>
          <w:p w14:paraId="266E5EEB"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733C3256"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くるみん（平成29年4月1日～令和4年3月31日までの基準）</w:t>
            </w:r>
            <w:r w:rsidRPr="005D78B5">
              <w:rPr>
                <w:rFonts w:asciiTheme="majorEastAsia" w:eastAsiaTheme="majorEastAsia" w:hAnsiTheme="majorEastAsia" w:hint="eastAsia"/>
                <w:i/>
                <w:iCs/>
                <w:color w:val="000000" w:themeColor="text1"/>
                <w:sz w:val="18"/>
                <w:szCs w:val="18"/>
                <w:vertAlign w:val="superscript"/>
              </w:rPr>
              <w:t>※6</w:t>
            </w:r>
          </w:p>
        </w:tc>
      </w:tr>
      <w:tr w:rsidR="005D78B5" w:rsidRPr="005D78B5" w14:paraId="3FE3D6B1" w14:textId="77777777" w:rsidTr="00360B02">
        <w:trPr>
          <w:trHeight w:val="91"/>
          <w:jc w:val="center"/>
        </w:trPr>
        <w:tc>
          <w:tcPr>
            <w:tcW w:w="4080" w:type="dxa"/>
            <w:vMerge/>
            <w:vAlign w:val="center"/>
          </w:tcPr>
          <w:p w14:paraId="0447E175"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54A10258"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vertAlign w:val="superscript"/>
              </w:rPr>
            </w:pPr>
            <w:r w:rsidRPr="005D78B5">
              <w:rPr>
                <w:rFonts w:asciiTheme="majorEastAsia" w:eastAsiaTheme="majorEastAsia" w:hAnsiTheme="majorEastAsia" w:hint="eastAsia"/>
                <w:i/>
                <w:iCs/>
                <w:color w:val="000000" w:themeColor="text1"/>
                <w:sz w:val="18"/>
                <w:szCs w:val="18"/>
              </w:rPr>
              <w:t>トライくるみん</w:t>
            </w:r>
            <w:r w:rsidRPr="005D78B5">
              <w:rPr>
                <w:rFonts w:asciiTheme="majorEastAsia" w:eastAsiaTheme="majorEastAsia" w:hAnsiTheme="majorEastAsia" w:hint="eastAsia"/>
                <w:i/>
                <w:iCs/>
                <w:color w:val="000000" w:themeColor="text1"/>
                <w:sz w:val="18"/>
                <w:szCs w:val="18"/>
                <w:vertAlign w:val="superscript"/>
              </w:rPr>
              <w:t>※7</w:t>
            </w:r>
          </w:p>
        </w:tc>
      </w:tr>
      <w:tr w:rsidR="005D78B5" w:rsidRPr="005D78B5" w14:paraId="5D55B9BD" w14:textId="77777777" w:rsidTr="00360B02">
        <w:trPr>
          <w:trHeight w:val="135"/>
          <w:jc w:val="center"/>
        </w:trPr>
        <w:tc>
          <w:tcPr>
            <w:tcW w:w="4080" w:type="dxa"/>
            <w:vMerge/>
            <w:vAlign w:val="center"/>
          </w:tcPr>
          <w:p w14:paraId="22B00D48" w14:textId="77777777" w:rsidR="00360B02" w:rsidRPr="005D78B5" w:rsidRDefault="00360B02" w:rsidP="00823A9F">
            <w:pPr>
              <w:pStyle w:val="affff3"/>
              <w:ind w:leftChars="0" w:left="0" w:firstLine="245"/>
              <w:rPr>
                <w:rFonts w:asciiTheme="majorEastAsia" w:eastAsiaTheme="majorEastAsia" w:hAnsiTheme="majorEastAsia"/>
                <w:i/>
                <w:iCs/>
                <w:color w:val="000000" w:themeColor="text1"/>
                <w:sz w:val="18"/>
                <w:szCs w:val="18"/>
              </w:rPr>
            </w:pPr>
          </w:p>
        </w:tc>
        <w:tc>
          <w:tcPr>
            <w:tcW w:w="6126" w:type="dxa"/>
            <w:vAlign w:val="center"/>
          </w:tcPr>
          <w:p w14:paraId="56FA59D9" w14:textId="77777777" w:rsidR="00360B02" w:rsidRPr="005D78B5" w:rsidRDefault="00360B02" w:rsidP="00823A9F">
            <w:pPr>
              <w:pStyle w:val="affff3"/>
              <w:ind w:leftChars="0" w:left="0"/>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くるみん（平成29年3月31日までの基準）</w:t>
            </w:r>
            <w:r w:rsidRPr="005D78B5">
              <w:rPr>
                <w:rFonts w:asciiTheme="majorEastAsia" w:eastAsiaTheme="majorEastAsia" w:hAnsiTheme="majorEastAsia" w:hint="eastAsia"/>
                <w:i/>
                <w:iCs/>
                <w:color w:val="000000" w:themeColor="text1"/>
                <w:sz w:val="18"/>
                <w:szCs w:val="18"/>
                <w:vertAlign w:val="superscript"/>
              </w:rPr>
              <w:t>※8</w:t>
            </w:r>
          </w:p>
        </w:tc>
      </w:tr>
      <w:tr w:rsidR="005D78B5" w:rsidRPr="005D78B5" w14:paraId="31601C11" w14:textId="77777777" w:rsidTr="00360B02">
        <w:trPr>
          <w:trHeight w:val="219"/>
          <w:jc w:val="center"/>
        </w:trPr>
        <w:tc>
          <w:tcPr>
            <w:tcW w:w="10207" w:type="dxa"/>
            <w:gridSpan w:val="2"/>
            <w:vAlign w:val="center"/>
          </w:tcPr>
          <w:p w14:paraId="3CC374AE" w14:textId="77777777" w:rsidR="00360B02" w:rsidRPr="005D78B5" w:rsidRDefault="00360B02" w:rsidP="00360B02">
            <w:pPr>
              <w:ind w:left="22" w:hanging="11"/>
              <w:rPr>
                <w:rFonts w:asciiTheme="majorEastAsia" w:eastAsiaTheme="majorEastAsia" w:hAnsiTheme="majorEastAsia"/>
                <w:i/>
                <w:iCs/>
                <w:color w:val="000000" w:themeColor="text1"/>
                <w:sz w:val="18"/>
                <w:szCs w:val="18"/>
              </w:rPr>
            </w:pPr>
            <w:r w:rsidRPr="005D78B5">
              <w:rPr>
                <w:rFonts w:asciiTheme="majorEastAsia" w:eastAsiaTheme="majorEastAsia" w:hAnsiTheme="majorEastAsia" w:hint="eastAsia"/>
                <w:i/>
                <w:iCs/>
                <w:color w:val="000000" w:themeColor="text1"/>
                <w:sz w:val="18"/>
                <w:szCs w:val="18"/>
              </w:rPr>
              <w:t>青少年の雇用の促進等に関する法律（若者雇用促進法）に基づく認定（ユースエール認定企業）</w:t>
            </w:r>
          </w:p>
        </w:tc>
      </w:tr>
    </w:tbl>
    <w:p w14:paraId="4F217E62"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※1：女性の職業生活における活躍の推進に関する法律等の一部を改正する法律 (令和元年法第24 号)による改正後の女性活躍推進法第12 条に基づく認定</w:t>
      </w:r>
    </w:p>
    <w:p w14:paraId="52FA5702"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※2：女性活躍推進法第9条に基づく認定。なお、労働時間等の働き方に係る基準は満たすことが必要。</w:t>
      </w:r>
    </w:p>
    <w:p w14:paraId="68E8C6A9"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※3：常時雇用する労働者の数が100 人以下の事業主に限る（計画期間が満了していない行動計画を策定している場合のみ）。</w:t>
      </w:r>
    </w:p>
    <w:p w14:paraId="451A208E"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※4：次世代法第15条の2の規定に基づく認定</w:t>
      </w:r>
    </w:p>
    <w:p w14:paraId="165FB54A"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70BA9938" w14:textId="77777777" w:rsidR="00360B02" w:rsidRPr="005D78B5" w:rsidRDefault="00360B02" w:rsidP="00AC7A3D">
      <w:pPr>
        <w:pStyle w:val="affff3"/>
        <w:spacing w:line="240" w:lineRule="exact"/>
        <w:ind w:leftChars="-55" w:left="285" w:hangingChars="222" w:hanging="400"/>
        <w:jc w:val="left"/>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6：次世代法第13条の規定に基づく認定のうち、令和3年改正省令による改正前の次世代育成支援対策推進法施行規則第4条又は令和3年改正省令附則第2条第2項の規定に基づく認定（ただし、※10の認定を除く。）</w:t>
      </w:r>
    </w:p>
    <w:p w14:paraId="6ABFF7F8" w14:textId="77777777" w:rsidR="00AC7A3D" w:rsidRPr="005D78B5" w:rsidRDefault="00360B02" w:rsidP="00AC7A3D">
      <w:pPr>
        <w:spacing w:line="240" w:lineRule="exact"/>
        <w:ind w:leftChars="-67" w:left="-141"/>
        <w:rPr>
          <w:rFonts w:ascii="ＭＳ 明朝" w:hAnsi="ＭＳ 明朝"/>
          <w:i/>
          <w:iCs/>
          <w:color w:val="000000" w:themeColor="text1"/>
          <w:sz w:val="18"/>
          <w:szCs w:val="18"/>
        </w:rPr>
      </w:pPr>
      <w:r w:rsidRPr="005D78B5">
        <w:rPr>
          <w:rFonts w:ascii="ＭＳ 明朝" w:hAnsi="ＭＳ 明朝" w:hint="eastAsia"/>
          <w:i/>
          <w:iCs/>
          <w:color w:val="000000" w:themeColor="text1"/>
          <w:sz w:val="18"/>
          <w:szCs w:val="18"/>
        </w:rPr>
        <w:t>※7：次世代法第13条の規定に基づく認定のうち、新施行規則第4条第1項第3号及び第4号の規定に基づく認定</w:t>
      </w:r>
    </w:p>
    <w:p w14:paraId="53C65C3D" w14:textId="5C45F66D" w:rsidR="00DE61DD" w:rsidRPr="005D78B5" w:rsidRDefault="00AC7A3D" w:rsidP="001C513E">
      <w:pPr>
        <w:spacing w:line="240" w:lineRule="exact"/>
        <w:ind w:leftChars="-67" w:left="283" w:hanging="424"/>
        <w:rPr>
          <w:i/>
          <w:iCs/>
          <w:color w:val="000000" w:themeColor="text1"/>
        </w:rPr>
      </w:pPr>
      <w:r w:rsidRPr="005D78B5">
        <w:rPr>
          <w:rFonts w:ascii="ＭＳ 明朝" w:hAnsi="ＭＳ 明朝" w:hint="eastAsia"/>
          <w:i/>
          <w:iCs/>
          <w:color w:val="000000" w:themeColor="text1"/>
          <w:sz w:val="18"/>
          <w:szCs w:val="18"/>
        </w:rPr>
        <w:t>※8：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bookmarkEnd w:id="0"/>
    </w:p>
    <w:sectPr w:rsidR="00DE61DD" w:rsidRPr="005D78B5" w:rsidSect="00B94E02">
      <w:footerReference w:type="even" r:id="rId9"/>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3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0B03"/>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84A"/>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5AFB"/>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C56"/>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82A"/>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2C18"/>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C750C"/>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3DEA"/>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D78B5"/>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4C4D"/>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436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0A"/>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87B"/>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895"/>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364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1441</Words>
  <Characters>241</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