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437D" w14:textId="784DF4EF" w:rsidR="00FC3C77" w:rsidRDefault="00FC3C77" w:rsidP="00FC3C77">
      <w:pPr>
        <w:jc w:val="left"/>
      </w:pPr>
      <w:r>
        <w:rPr>
          <w:rFonts w:hint="eastAsia"/>
        </w:rPr>
        <w:t>（参考資料</w:t>
      </w:r>
      <w:r w:rsidR="00D96AB7">
        <w:rPr>
          <w:rFonts w:hint="eastAsia"/>
        </w:rPr>
        <w:t>１</w:t>
      </w:r>
      <w:r>
        <w:rPr>
          <w:rFonts w:hint="eastAsia"/>
        </w:rPr>
        <w:t>）</w:t>
      </w:r>
    </w:p>
    <w:p w14:paraId="2720D3C0" w14:textId="77777777" w:rsidR="00FC3C77" w:rsidRDefault="00FC3C77" w:rsidP="00FC3C77">
      <w:pPr>
        <w:jc w:val="left"/>
      </w:pPr>
    </w:p>
    <w:p w14:paraId="31682F36" w14:textId="77777777" w:rsidR="00FC3C77" w:rsidRDefault="00FC3C77" w:rsidP="00FC3C77">
      <w:pPr>
        <w:autoSpaceDE w:val="0"/>
        <w:autoSpaceDN w:val="0"/>
        <w:adjustRightInd w:val="0"/>
        <w:spacing w:line="360" w:lineRule="exact"/>
        <w:jc w:val="center"/>
        <w:rPr>
          <w:rFonts w:ascii="ＭＳ ゴシック" w:eastAsia="ＭＳ ゴシック" w:hAnsi="ＭＳ ゴシック" w:cs="ＭＳ ゴシック"/>
          <w:b/>
          <w:kern w:val="0"/>
          <w:sz w:val="24"/>
        </w:rPr>
      </w:pPr>
      <w:r w:rsidRPr="00C0305B">
        <w:rPr>
          <w:rFonts w:ascii="ＭＳ ゴシック" w:eastAsia="ＭＳ ゴシック" w:hAnsi="ＭＳ ゴシック" w:cs="ＭＳ ゴシック" w:hint="eastAsia"/>
          <w:b/>
          <w:kern w:val="0"/>
          <w:sz w:val="24"/>
        </w:rPr>
        <w:t>ＮＥＤＯ先導研究プログラム</w:t>
      </w:r>
      <w:r>
        <w:rPr>
          <w:rFonts w:ascii="ＭＳ ゴシック" w:eastAsia="ＭＳ ゴシック" w:hAnsi="ＭＳ ゴシック" w:cs="ＭＳ ゴシック" w:hint="eastAsia"/>
          <w:b/>
          <w:kern w:val="0"/>
          <w:sz w:val="24"/>
        </w:rPr>
        <w:t>における</w:t>
      </w:r>
      <w:r w:rsidRPr="00CF7AE9">
        <w:rPr>
          <w:rFonts w:ascii="ＭＳ ゴシック" w:eastAsia="ＭＳ ゴシック" w:hAnsi="ＭＳ ゴシック" w:cs="ＭＳ ゴシック" w:hint="eastAsia"/>
          <w:b/>
          <w:kern w:val="0"/>
          <w:sz w:val="24"/>
        </w:rPr>
        <w:t>知財合意書の作成例</w:t>
      </w:r>
      <w:r>
        <w:rPr>
          <w:rFonts w:ascii="ＭＳ ゴシック" w:eastAsia="ＭＳ ゴシック" w:hAnsi="ＭＳ ゴシック" w:cs="ＭＳ ゴシック" w:hint="eastAsia"/>
          <w:b/>
          <w:kern w:val="0"/>
          <w:sz w:val="24"/>
        </w:rPr>
        <w:t>について</w:t>
      </w:r>
    </w:p>
    <w:p w14:paraId="04E808E2" w14:textId="77777777" w:rsidR="00FC3C77" w:rsidRPr="004546EA" w:rsidRDefault="00FC3C77" w:rsidP="00FC3C77">
      <w:pPr>
        <w:autoSpaceDE w:val="0"/>
        <w:autoSpaceDN w:val="0"/>
        <w:adjustRightInd w:val="0"/>
        <w:spacing w:line="360" w:lineRule="exact"/>
        <w:rPr>
          <w:rFonts w:ascii="ＭＳ ゴシック" w:eastAsia="ＭＳ ゴシック" w:hAnsi="ＭＳ ゴシック" w:cs="ＭＳ ゴシック"/>
          <w:b/>
          <w:kern w:val="0"/>
          <w:sz w:val="24"/>
        </w:rPr>
      </w:pPr>
    </w:p>
    <w:p w14:paraId="54A9668B" w14:textId="6C2DCF42" w:rsidR="00FC3C77" w:rsidRDefault="00FC3C77" w:rsidP="00FC3C77">
      <w:pPr>
        <w:autoSpaceDE w:val="0"/>
        <w:autoSpaceDN w:val="0"/>
        <w:adjustRightInd w:val="0"/>
        <w:spacing w:line="360" w:lineRule="exact"/>
        <w:rPr>
          <w:rFonts w:ascii="ＭＳ ゴシック" w:hAnsi="Century" w:cs="ＭＳ ゴシック"/>
          <w:kern w:val="0"/>
          <w:sz w:val="24"/>
        </w:rPr>
      </w:pPr>
    </w:p>
    <w:p w14:paraId="01CFD54A" w14:textId="77777777" w:rsidR="00FC3C77" w:rsidRPr="004546EA" w:rsidRDefault="00FC3C77" w:rsidP="00FC3C77">
      <w:pPr>
        <w:autoSpaceDE w:val="0"/>
        <w:autoSpaceDN w:val="0"/>
        <w:adjustRightInd w:val="0"/>
        <w:spacing w:line="360" w:lineRule="exact"/>
        <w:rPr>
          <w:rFonts w:ascii="ＭＳ ゴシック" w:hAnsi="Century" w:cs="ＭＳ ゴシック"/>
          <w:kern w:val="0"/>
          <w:sz w:val="24"/>
        </w:rPr>
      </w:pPr>
    </w:p>
    <w:p w14:paraId="1D3635DA" w14:textId="6FB9F1E5" w:rsidR="00FC3C77" w:rsidRDefault="00FC3C77" w:rsidP="00FC3C77">
      <w:pPr>
        <w:autoSpaceDE w:val="0"/>
        <w:autoSpaceDN w:val="0"/>
        <w:adjustRightInd w:val="0"/>
        <w:spacing w:line="360" w:lineRule="exact"/>
        <w:ind w:firstLineChars="100" w:firstLine="240"/>
        <w:rPr>
          <w:rFonts w:ascii="ＭＳ ゴシック" w:hAnsi="Century" w:cs="ＭＳ ゴシック"/>
          <w:kern w:val="0"/>
          <w:sz w:val="24"/>
        </w:rPr>
      </w:pPr>
      <w:r>
        <w:rPr>
          <w:rFonts w:ascii="ＭＳ ゴシック" w:hAnsi="Century" w:cs="ＭＳ ゴシック" w:hint="eastAsia"/>
          <w:kern w:val="0"/>
          <w:sz w:val="24"/>
        </w:rPr>
        <w:t>「</w:t>
      </w:r>
      <w:r w:rsidRPr="00C0305B">
        <w:rPr>
          <w:rFonts w:ascii="ＭＳ ゴシック" w:hAnsi="Century" w:cs="ＭＳ ゴシック" w:hint="eastAsia"/>
          <w:kern w:val="0"/>
          <w:sz w:val="24"/>
        </w:rPr>
        <w:t>ＮＥＤＯ先導研究プログラム</w:t>
      </w:r>
      <w:r>
        <w:rPr>
          <w:rFonts w:ascii="ＭＳ ゴシック" w:hAnsi="Century" w:cs="ＭＳ ゴシック" w:hint="eastAsia"/>
          <w:kern w:val="0"/>
          <w:sz w:val="24"/>
        </w:rPr>
        <w:t>における知財マネジメント基本方針」</w:t>
      </w:r>
      <w:r w:rsidR="00AB4F0E">
        <w:rPr>
          <w:rFonts w:ascii="ＭＳ ゴシック" w:hAnsi="Century" w:cs="ＭＳ ゴシック" w:hint="eastAsia"/>
          <w:kern w:val="0"/>
          <w:sz w:val="24"/>
        </w:rPr>
        <w:t>（添付資料）</w:t>
      </w:r>
      <w:r>
        <w:rPr>
          <w:rFonts w:ascii="ＭＳ ゴシック" w:hAnsi="Century" w:cs="ＭＳ ゴシック" w:hint="eastAsia"/>
          <w:kern w:val="0"/>
          <w:sz w:val="24"/>
        </w:rPr>
        <w:t>に従い、研究開発テーマ（プロジェクト）において知財合意書を作成する必要があります。以下に、知財合意書の作成例を提示しますので御活用ください。知財合意書の作成に</w:t>
      </w:r>
      <w:r>
        <w:rPr>
          <w:rFonts w:ascii="ＭＳ 明朝" w:hAnsi="ＭＳ 明朝" w:hint="eastAsia"/>
        </w:rPr>
        <w:t>当た</w:t>
      </w:r>
      <w:r>
        <w:rPr>
          <w:rFonts w:ascii="ＭＳ ゴシック" w:hAnsi="Century" w:cs="ＭＳ ゴシック" w:hint="eastAsia"/>
          <w:kern w:val="0"/>
          <w:sz w:val="24"/>
        </w:rPr>
        <w:t>っては、経済産業省の「委託研究開発における知的財産マネジメントに関する運用ガイドライン」も併せて御参照ください。</w:t>
      </w:r>
    </w:p>
    <w:p w14:paraId="43BCA7FE" w14:textId="77777777" w:rsidR="00FC3C77" w:rsidRDefault="00FC3C77" w:rsidP="00FC3C77">
      <w:pPr>
        <w:autoSpaceDE w:val="0"/>
        <w:autoSpaceDN w:val="0"/>
        <w:adjustRightInd w:val="0"/>
        <w:spacing w:line="360" w:lineRule="exact"/>
        <w:ind w:firstLineChars="100" w:firstLine="240"/>
        <w:rPr>
          <w:rFonts w:ascii="ＭＳ ゴシック" w:hAnsi="Century" w:cs="ＭＳ ゴシック"/>
          <w:kern w:val="0"/>
          <w:sz w:val="24"/>
        </w:rPr>
      </w:pPr>
      <w:r>
        <w:rPr>
          <w:rFonts w:ascii="ＭＳ ゴシック" w:hAnsi="Century" w:cs="ＭＳ ゴシック" w:hint="eastAsia"/>
          <w:kern w:val="0"/>
          <w:sz w:val="24"/>
        </w:rPr>
        <w:t>なお、本作成例は一例として示したものであり、当該基本方針に従い、プロジェクトごとに具体的な内容及び追加的に定める事項について検討することが可能です。</w:t>
      </w:r>
    </w:p>
    <w:p w14:paraId="378583CE" w14:textId="77777777" w:rsidR="00FC3C77" w:rsidRPr="004546EA" w:rsidRDefault="00FC3C77" w:rsidP="00FC3C77">
      <w:pPr>
        <w:autoSpaceDE w:val="0"/>
        <w:autoSpaceDN w:val="0"/>
        <w:adjustRightInd w:val="0"/>
        <w:spacing w:line="360" w:lineRule="exact"/>
        <w:rPr>
          <w:rFonts w:ascii="ＭＳ ゴシック" w:hAnsi="Century" w:cs="ＭＳ ゴシック"/>
          <w:kern w:val="0"/>
          <w:sz w:val="24"/>
        </w:rPr>
      </w:pPr>
    </w:p>
    <w:p w14:paraId="181E4916" w14:textId="68FB2F9F" w:rsidR="00FC3C77"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jc w:val="center"/>
        <w:rPr>
          <w:rFonts w:ascii="ＭＳ 明朝" w:hAnsi="ＭＳ 明朝" w:cs="ＭＳ明朝"/>
          <w:kern w:val="0"/>
          <w:sz w:val="24"/>
        </w:rPr>
      </w:pPr>
      <w:r w:rsidRPr="00C0305B">
        <w:rPr>
          <w:rFonts w:ascii="ＭＳ 明朝" w:hAnsi="ＭＳ 明朝" w:cs="ＭＳ明朝" w:hint="eastAsia"/>
          <w:kern w:val="0"/>
          <w:sz w:val="24"/>
        </w:rPr>
        <w:t>ＮＥＤＯ先導研究プログラム／</w:t>
      </w:r>
      <w:r>
        <w:rPr>
          <w:rFonts w:ascii="ＭＳ 明朝" w:hAnsi="ＭＳ 明朝" w:cs="ＭＳ明朝" w:hint="eastAsia"/>
          <w:kern w:val="0"/>
          <w:sz w:val="24"/>
        </w:rPr>
        <w:t>エネルギー・環境新技術先導研究プログラム（又は</w:t>
      </w:r>
      <w:r w:rsidR="009103D2" w:rsidRPr="009103D2">
        <w:rPr>
          <w:rFonts w:ascii="ＭＳ 明朝" w:hAnsi="ＭＳ 明朝" w:cs="ＭＳ明朝" w:hint="eastAsia"/>
          <w:kern w:val="0"/>
          <w:sz w:val="24"/>
        </w:rPr>
        <w:t>新産業・革新技術創出に向けた先導研究プログラム</w:t>
      </w:r>
      <w:r w:rsidR="00E327AB">
        <w:rPr>
          <w:rFonts w:ascii="ＭＳ 明朝" w:hAnsi="ＭＳ 明朝" w:cs="ＭＳ明朝" w:hint="eastAsia"/>
          <w:kern w:val="0"/>
          <w:sz w:val="24"/>
        </w:rPr>
        <w:t>又は</w:t>
      </w:r>
      <w:r w:rsidR="00417CC7">
        <w:rPr>
          <w:rFonts w:ascii="ＭＳ 明朝" w:hAnsi="ＭＳ 明朝" w:cs="ＭＳ明朝" w:hint="eastAsia"/>
          <w:kern w:val="0"/>
          <w:sz w:val="24"/>
        </w:rPr>
        <w:t>フロンティア育成事業</w:t>
      </w:r>
      <w:r>
        <w:rPr>
          <w:rFonts w:ascii="ＭＳ 明朝" w:hAnsi="ＭＳ 明朝" w:cs="ＭＳ明朝" w:hint="eastAsia"/>
          <w:kern w:val="0"/>
          <w:sz w:val="24"/>
        </w:rPr>
        <w:t>）／（研究開発テーマ名を記載）</w:t>
      </w:r>
    </w:p>
    <w:p w14:paraId="5CE67CE6"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jc w:val="center"/>
        <w:rPr>
          <w:rFonts w:ascii="ＭＳ ゴシック" w:hAnsi="Century" w:cs="ＭＳ ゴシック"/>
          <w:kern w:val="0"/>
          <w:sz w:val="24"/>
        </w:rPr>
      </w:pPr>
      <w:r w:rsidRPr="00CF7AE9">
        <w:rPr>
          <w:rFonts w:ascii="ＭＳ ゴシック" w:hAnsi="Century" w:cs="ＭＳ ゴシック" w:hint="eastAsia"/>
          <w:kern w:val="0"/>
          <w:sz w:val="24"/>
        </w:rPr>
        <w:t>「知財合意書」</w:t>
      </w:r>
    </w:p>
    <w:p w14:paraId="11526E55" w14:textId="77777777" w:rsidR="00FC3C77" w:rsidRPr="00F40B5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p>
    <w:p w14:paraId="225F6023"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r w:rsidRPr="00CF7AE9">
        <w:rPr>
          <w:rFonts w:ascii="ＭＳ 明朝" w:hAnsi="ＭＳ 明朝" w:hint="eastAsia"/>
          <w:sz w:val="24"/>
        </w:rPr>
        <w:t>（目的）</w:t>
      </w:r>
    </w:p>
    <w:p w14:paraId="3FF7ED77" w14:textId="60750E8F"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83" w:hangingChars="118" w:hanging="283"/>
        <w:rPr>
          <w:rFonts w:ascii="ＭＳ 明朝" w:hAnsi="ＭＳ 明朝" w:cs="ＭＳ明朝"/>
          <w:kern w:val="0"/>
          <w:sz w:val="24"/>
        </w:rPr>
      </w:pPr>
      <w:r w:rsidRPr="00CF7AE9">
        <w:rPr>
          <w:rFonts w:ascii="ＭＳ 明朝" w:hAnsi="ＭＳ 明朝" w:cs="ＭＳ明朝" w:hint="eastAsia"/>
          <w:kern w:val="0"/>
          <w:sz w:val="24"/>
        </w:rPr>
        <w:t>第１条　本合意書は、</w:t>
      </w:r>
      <w:r>
        <w:rPr>
          <w:rFonts w:ascii="ＭＳ 明朝" w:hAnsi="ＭＳ 明朝" w:cs="ＭＳ明朝" w:hint="eastAsia"/>
          <w:kern w:val="0"/>
          <w:sz w:val="24"/>
        </w:rPr>
        <w:t>「</w:t>
      </w:r>
      <w:r w:rsidRPr="00C0305B">
        <w:rPr>
          <w:rFonts w:ascii="ＭＳ 明朝" w:hAnsi="ＭＳ 明朝" w:cs="ＭＳ明朝" w:hint="eastAsia"/>
          <w:kern w:val="0"/>
          <w:sz w:val="24"/>
        </w:rPr>
        <w:t>ＮＥＤＯ先導研究プログラム／</w:t>
      </w:r>
      <w:r>
        <w:rPr>
          <w:rFonts w:ascii="ＭＳ 明朝" w:hAnsi="ＭＳ 明朝" w:cs="ＭＳ明朝" w:hint="eastAsia"/>
          <w:kern w:val="0"/>
          <w:sz w:val="24"/>
        </w:rPr>
        <w:t>エネルギー・環境新技術先導研究プログラム（又は</w:t>
      </w:r>
      <w:r w:rsidR="009103D2" w:rsidRPr="009103D2">
        <w:rPr>
          <w:rFonts w:ascii="ＭＳ 明朝" w:hAnsi="ＭＳ 明朝" w:cs="ＭＳ明朝" w:hint="eastAsia"/>
          <w:kern w:val="0"/>
          <w:sz w:val="24"/>
        </w:rPr>
        <w:t>新産業・革新技術創出に向けた先導研究プログラム</w:t>
      </w:r>
      <w:r w:rsidR="00E7746D">
        <w:rPr>
          <w:rFonts w:ascii="ＭＳ 明朝" w:hAnsi="ＭＳ 明朝" w:cs="ＭＳ明朝" w:hint="eastAsia"/>
          <w:kern w:val="0"/>
          <w:sz w:val="24"/>
        </w:rPr>
        <w:t>又はフロンティア育成事業</w:t>
      </w:r>
      <w:r>
        <w:rPr>
          <w:rFonts w:ascii="ＭＳ 明朝" w:hAnsi="ＭＳ 明朝" w:cs="ＭＳ明朝" w:hint="eastAsia"/>
          <w:kern w:val="0"/>
          <w:sz w:val="24"/>
        </w:rPr>
        <w:t>／（研究開発テーマ名を記載）」</w:t>
      </w:r>
      <w:r w:rsidRPr="00CF7AE9">
        <w:rPr>
          <w:rFonts w:ascii="ＭＳ 明朝" w:hAnsi="ＭＳ 明朝" w:cs="ＭＳ明朝" w:hint="eastAsia"/>
          <w:kern w:val="0"/>
          <w:sz w:val="24"/>
        </w:rPr>
        <w:t>（以下「本プロジェクト」という。）の実施及びその成果の活用のために必要な知的財産の取扱いについて定めることにより、本プロジェクトを円滑に遂行し、その成果を事業活動において効率的に活用することを目的とする。</w:t>
      </w:r>
    </w:p>
    <w:p w14:paraId="255DC466"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p>
    <w:p w14:paraId="1944528D"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（定義）</w:t>
      </w:r>
    </w:p>
    <w:p w14:paraId="6D1FA85D"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第２条　本合意書において、次に掲げる用語は次の定義によるものとする。</w:t>
      </w:r>
    </w:p>
    <w:p w14:paraId="728ADA0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ＭＳ 明朝" w:hAnsi="ＭＳ 明朝"/>
          <w:sz w:val="24"/>
        </w:rPr>
      </w:pPr>
      <w:r w:rsidRPr="00CF7AE9">
        <w:rPr>
          <w:rFonts w:ascii="ＭＳ 明朝" w:hAnsi="ＭＳ 明朝" w:hint="eastAsia"/>
          <w:sz w:val="24"/>
        </w:rPr>
        <w:t xml:space="preserve">　一　「発明等」とは、次に掲げるものをいう。</w:t>
      </w:r>
    </w:p>
    <w:p w14:paraId="53DAAA6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イ　発明</w:t>
      </w:r>
    </w:p>
    <w:p w14:paraId="06C77734"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ロ　考案</w:t>
      </w:r>
    </w:p>
    <w:p w14:paraId="2D34B43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ハ　意匠の創作</w:t>
      </w:r>
    </w:p>
    <w:p w14:paraId="59F1C5BE"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ニ　半導体集積回路の回路配置に関する法律（昭和６０年法律第４３号）第２条第２項に規定する回路配置の創作</w:t>
      </w:r>
    </w:p>
    <w:p w14:paraId="2B3BF339"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Century" w:hAnsi="Century" w:cs="ＭＳ 明朝"/>
          <w:sz w:val="24"/>
        </w:rPr>
      </w:pPr>
      <w:r w:rsidRPr="00CF7AE9">
        <w:rPr>
          <w:rFonts w:ascii="ＭＳ 明朝" w:hAnsi="ＭＳ 明朝" w:hint="eastAsia"/>
          <w:sz w:val="24"/>
        </w:rPr>
        <w:t xml:space="preserve">　　ホ　</w:t>
      </w:r>
      <w:r w:rsidRPr="00CF7AE9">
        <w:rPr>
          <w:rFonts w:ascii="Century" w:hAnsi="Century" w:cs="ＭＳ 明朝" w:hint="eastAsia"/>
          <w:sz w:val="24"/>
        </w:rPr>
        <w:t>種苗法第２条第２項に規定する品種の育成</w:t>
      </w:r>
    </w:p>
    <w:p w14:paraId="35EEAC72"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Century" w:hAnsi="Century" w:cs="ＭＳ 明朝" w:hint="eastAsia"/>
          <w:sz w:val="24"/>
        </w:rPr>
        <w:t xml:space="preserve">　　</w:t>
      </w:r>
      <w:proofErr w:type="gramStart"/>
      <w:r w:rsidRPr="00CF7AE9">
        <w:rPr>
          <w:rFonts w:ascii="ＭＳ 明朝" w:hAnsi="ＭＳ 明朝" w:hint="eastAsia"/>
          <w:sz w:val="24"/>
        </w:rPr>
        <w:t>ヘ</w:t>
      </w:r>
      <w:proofErr w:type="gramEnd"/>
      <w:r w:rsidRPr="00CF7AE9">
        <w:rPr>
          <w:rFonts w:ascii="ＭＳ 明朝" w:hAnsi="ＭＳ 明朝" w:hint="eastAsia"/>
          <w:sz w:val="24"/>
        </w:rPr>
        <w:t xml:space="preserve">　著作物の創作</w:t>
      </w:r>
    </w:p>
    <w:p w14:paraId="205A69FB"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ト　技術情報のうち秘匿することが可能なものであって、かつ、財産的価値のあるもの（以下「ノウハウ」という。）の案出</w:t>
      </w:r>
    </w:p>
    <w:p w14:paraId="47A0907C"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ＭＳ 明朝" w:hAnsi="ＭＳ 明朝"/>
          <w:sz w:val="24"/>
        </w:rPr>
      </w:pPr>
      <w:r w:rsidRPr="00CF7AE9">
        <w:rPr>
          <w:rFonts w:ascii="ＭＳ 明朝" w:hAnsi="ＭＳ 明朝" w:hint="eastAsia"/>
          <w:sz w:val="24"/>
        </w:rPr>
        <w:t xml:space="preserve">　二　「発明者等」とは、発明等をなした者をいう。</w:t>
      </w:r>
    </w:p>
    <w:p w14:paraId="75D3B7C4"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三</w:t>
      </w:r>
      <w:r w:rsidRPr="00CF7AE9">
        <w:rPr>
          <w:rFonts w:ascii="ＭＳ 明朝" w:hAnsi="ＭＳ 明朝"/>
          <w:sz w:val="24"/>
        </w:rPr>
        <w:t xml:space="preserve">  「知的財産権」とは、次に掲げるものをいう。</w:t>
      </w:r>
    </w:p>
    <w:p w14:paraId="563DC86C"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Century" w:hAnsi="Century" w:cs="ＭＳ 明朝"/>
          <w:sz w:val="24"/>
        </w:rPr>
      </w:pPr>
      <w:r w:rsidRPr="00CF7AE9">
        <w:rPr>
          <w:rFonts w:ascii="ＭＳ 明朝" w:hAnsi="ＭＳ 明朝" w:hint="eastAsia"/>
          <w:sz w:val="24"/>
        </w:rPr>
        <w:t xml:space="preserve">　　イ　</w:t>
      </w:r>
      <w:r w:rsidRPr="00CF7AE9">
        <w:rPr>
          <w:rFonts w:ascii="Century" w:hAnsi="Century" w:cs="ＭＳ 明朝" w:hint="eastAsia"/>
          <w:sz w:val="24"/>
        </w:rPr>
        <w:t>特許権、特許を受ける権利、実用新案権、実用新案登録を受ける権利、意匠権、意匠登録を受ける権利、回路配置利用権、回路配置利用権の設定の登録を受ける権利、</w:t>
      </w:r>
      <w:r w:rsidRPr="00CF7AE9">
        <w:rPr>
          <w:rFonts w:ascii="Century" w:hAnsi="Century" w:cs="ＭＳ 明朝" w:hint="eastAsia"/>
          <w:sz w:val="24"/>
        </w:rPr>
        <w:lastRenderedPageBreak/>
        <w:t>育成者権、種苗法（平成１０年法律第８３号）第３条に規定する品種登録を受ける地位及び外国における上記各権利及び地位に相当する権利及び地位（以下「産業財産権」と総称する。）</w:t>
      </w:r>
    </w:p>
    <w:p w14:paraId="1B3EB892"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ロ　著作権（著作権法（昭和４５年法律第４８号）第２１条から第２８条までに規定する全ての権利を含む）及び外国における上記権利に相当する権利（以下「著作権」と総称する。）</w:t>
      </w:r>
    </w:p>
    <w:p w14:paraId="503B6AA4"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720" w:hangingChars="300" w:hanging="720"/>
        <w:rPr>
          <w:rFonts w:ascii="ＭＳ 明朝" w:hAnsi="ＭＳ 明朝"/>
          <w:sz w:val="24"/>
        </w:rPr>
      </w:pPr>
      <w:r w:rsidRPr="00CF7AE9">
        <w:rPr>
          <w:rFonts w:ascii="ＭＳ 明朝" w:hAnsi="ＭＳ 明朝" w:hint="eastAsia"/>
          <w:sz w:val="24"/>
        </w:rPr>
        <w:t xml:space="preserve">　　ハ　ノウハウを使用する権利</w:t>
      </w:r>
    </w:p>
    <w:p w14:paraId="1276F8DC" w14:textId="4B81E36A"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Century" w:hAnsi="Century" w:cs="ＭＳ 明朝"/>
          <w:sz w:val="24"/>
        </w:rPr>
      </w:pPr>
      <w:r w:rsidRPr="00CF7AE9">
        <w:rPr>
          <w:rFonts w:ascii="ＭＳ 明朝" w:hAnsi="ＭＳ 明朝" w:hint="eastAsia"/>
          <w:sz w:val="24"/>
        </w:rPr>
        <w:t xml:space="preserve">　四　知的財産権の「実施」とは、</w:t>
      </w:r>
      <w:r w:rsidRPr="00CF7AE9">
        <w:rPr>
          <w:rFonts w:ascii="Century" w:hAnsi="Century" w:cs="ＭＳ 明朝" w:hint="eastAsia"/>
          <w:sz w:val="24"/>
        </w:rPr>
        <w:t>特許法（昭和３４年法律第１２１号）第２条第３項に定める行為、実用新案法（昭和３４年法律第１２３号）第２条第３項に定める行為、意匠法（昭和３４年法律第１２５号）第２条第</w:t>
      </w:r>
      <w:r w:rsidR="00F065C4">
        <w:rPr>
          <w:rFonts w:ascii="Century" w:hAnsi="Century" w:cs="ＭＳ 明朝" w:hint="eastAsia"/>
          <w:sz w:val="24"/>
        </w:rPr>
        <w:t>２</w:t>
      </w:r>
      <w:r w:rsidRPr="00CF7AE9">
        <w:rPr>
          <w:rFonts w:ascii="Century" w:hAnsi="Century" w:cs="ＭＳ 明朝" w:hint="eastAsia"/>
          <w:sz w:val="24"/>
        </w:rPr>
        <w:t>項に定める行為、半導体集積回路の回路配置に関する法律第２条第３項に定める行為、種苗法第２条第５項に定める行為、著作権法第２１条から第２８条までに規定する全ての権利に基づき著作物を利用する行為並びにノウハウを使用する行為をいう。</w:t>
      </w:r>
    </w:p>
    <w:p w14:paraId="7935DD3F" w14:textId="142CF98C"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ＭＳ 明朝" w:hAnsi="ＭＳ 明朝"/>
          <w:sz w:val="24"/>
        </w:rPr>
      </w:pPr>
      <w:r w:rsidRPr="00CF7AE9">
        <w:rPr>
          <w:rFonts w:ascii="ＭＳ 明朝" w:hAnsi="ＭＳ 明朝" w:hint="eastAsia"/>
          <w:sz w:val="24"/>
        </w:rPr>
        <w:t xml:space="preserve">　五　「プロジェクト参加者」とは</w:t>
      </w:r>
      <w:r w:rsidR="005E7FF0" w:rsidRPr="005E7FF0">
        <w:rPr>
          <w:rFonts w:ascii="ＭＳ 明朝" w:hAnsi="ＭＳ 明朝" w:hint="eastAsia"/>
          <w:sz w:val="24"/>
        </w:rPr>
        <w:t>、研究開発の直接の受託者のほか、当該受託者からの研究開発の一部の再委託先及び共同研究先をいい、具体的には</w:t>
      </w:r>
      <w:r w:rsidRPr="00CF7AE9">
        <w:rPr>
          <w:rFonts w:ascii="ＭＳ 明朝" w:hAnsi="ＭＳ 明朝" w:hint="eastAsia"/>
          <w:sz w:val="24"/>
        </w:rPr>
        <w:t>、本プロジェクトを実施する別紙１に記載された者をいう。</w:t>
      </w:r>
    </w:p>
    <w:p w14:paraId="2275A51C"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480" w:hangingChars="200" w:hanging="480"/>
        <w:rPr>
          <w:rFonts w:ascii="ＭＳ 明朝" w:hAnsi="ＭＳ 明朝"/>
          <w:sz w:val="24"/>
        </w:rPr>
      </w:pPr>
      <w:r w:rsidRPr="00CF7AE9">
        <w:rPr>
          <w:rFonts w:ascii="ＭＳ 明朝" w:hAnsi="ＭＳ 明朝" w:hint="eastAsia"/>
          <w:sz w:val="24"/>
        </w:rPr>
        <w:t xml:space="preserve">　</w:t>
      </w:r>
      <w:r>
        <w:rPr>
          <w:rFonts w:ascii="ＭＳ 明朝" w:hAnsi="ＭＳ 明朝" w:hint="eastAsia"/>
          <w:sz w:val="24"/>
        </w:rPr>
        <w:t>六</w:t>
      </w:r>
      <w:r w:rsidRPr="00CF7AE9">
        <w:rPr>
          <w:rFonts w:ascii="ＭＳ 明朝" w:hAnsi="ＭＳ 明朝" w:hint="eastAsia"/>
          <w:sz w:val="24"/>
        </w:rPr>
        <w:t xml:space="preserve">　「研究開発従事者」とは、本プロジェクトにおいて実施する研究開発に従事する者をいう。</w:t>
      </w:r>
    </w:p>
    <w:p w14:paraId="164BFA51" w14:textId="77777777" w:rsidR="00FC3C77" w:rsidRPr="001E22F8"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p>
    <w:p w14:paraId="7BCEB26A"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（知財運営委員会）</w:t>
      </w:r>
    </w:p>
    <w:p w14:paraId="439F872A"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第３条　本プロジェクトにおける知的財産の取扱いを適切に行うため、知財運営委員会を設置する。</w:t>
      </w:r>
    </w:p>
    <w:p w14:paraId="5A113D6F"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２　知財運営委員会は、本プロジェクトにおける知的財産の取扱いについて審議決定する。</w:t>
      </w:r>
    </w:p>
    <w:p w14:paraId="626EA9BB"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CF7AE9">
        <w:rPr>
          <w:rFonts w:ascii="ＭＳ 明朝" w:hAnsi="ＭＳ 明朝" w:hint="eastAsia"/>
          <w:sz w:val="24"/>
        </w:rPr>
        <w:t>３　知財運営委員会の審議内容、議決方法、構成員その他知財運営委員会の運営に関する事項は、別途定める知財運営委員会運営規則によるものとする。</w:t>
      </w:r>
    </w:p>
    <w:p w14:paraId="4A72660A" w14:textId="312CEE78" w:rsidR="00FC3C77" w:rsidRDefault="005E7FF0"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r w:rsidRPr="005E7FF0">
        <w:rPr>
          <w:rFonts w:ascii="ＭＳ 明朝" w:hAnsi="ＭＳ 明朝" w:hint="eastAsia"/>
          <w:sz w:val="24"/>
        </w:rPr>
        <w:t>４　知財運営委員会は、本プロジェクトにおける知的財産の取扱いとして、本プロジェクトとしての発明等の成果の権利化、秘匿化、公表等の取扱い方針（以下「取扱い方針」という。）を定める。</w:t>
      </w:r>
    </w:p>
    <w:p w14:paraId="23C530FC" w14:textId="77777777" w:rsidR="005E7FF0" w:rsidRPr="00CF7AE9" w:rsidRDefault="005E7FF0"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ind w:left="240" w:hangingChars="100" w:hanging="240"/>
        <w:rPr>
          <w:rFonts w:ascii="ＭＳ 明朝" w:hAnsi="ＭＳ 明朝"/>
          <w:sz w:val="24"/>
        </w:rPr>
      </w:pPr>
    </w:p>
    <w:p w14:paraId="21C1782F"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（秘密保持）</w:t>
      </w:r>
    </w:p>
    <w:p w14:paraId="162C61C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第４条　プロジェクト参加者は、本プロジェクトに関して他のプロジェクト参加者（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プロジェクト参加者は、当該情報を本プロジェクトの実施以外の目的で使用してはならない。ただし、開示を受けたプロジェクト参加者が、当該情報が次のいずれかに該当することを立証できる場合についてはこの限りでない。</w:t>
      </w:r>
    </w:p>
    <w:p w14:paraId="3FB05D7F"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t xml:space="preserve">　一　開示を受ける際、既に公知となっていたもの</w:t>
      </w:r>
    </w:p>
    <w:p w14:paraId="6BFFA62E"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t xml:space="preserve">　二　開示を受ける際、自己が正当に保有していたもの</w:t>
      </w:r>
    </w:p>
    <w:p w14:paraId="499712C5"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t xml:space="preserve">　三　開示を受けた後、自己の責によらずに公知となったもの</w:t>
      </w:r>
    </w:p>
    <w:p w14:paraId="43B7E44F"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t xml:space="preserve">　四　開示を受けた後、正当な権利を有する第三者より秘密保持義務を負うことなく開示を受けたもの</w:t>
      </w:r>
    </w:p>
    <w:p w14:paraId="00BE9540" w14:textId="50FE31D9"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480" w:hangingChars="200" w:hanging="480"/>
        <w:rPr>
          <w:rFonts w:ascii="ＭＳ 明朝" w:hAnsi="ＭＳ 明朝"/>
          <w:sz w:val="24"/>
        </w:rPr>
      </w:pPr>
      <w:r w:rsidRPr="00CF7AE9">
        <w:rPr>
          <w:rFonts w:ascii="ＭＳ 明朝" w:hAnsi="ＭＳ 明朝" w:hint="eastAsia"/>
          <w:sz w:val="24"/>
        </w:rPr>
        <w:lastRenderedPageBreak/>
        <w:t xml:space="preserve">　五　開示を受けた情報によらずに、自己が独自に入手し</w:t>
      </w:r>
      <w:r w:rsidRPr="003F4BC8">
        <w:rPr>
          <w:rFonts w:ascii="ＭＳ 明朝" w:hAnsi="ＭＳ 明朝" w:hint="eastAsia"/>
          <w:sz w:val="24"/>
        </w:rPr>
        <w:t>、</w:t>
      </w:r>
      <w:r w:rsidR="00F065C4">
        <w:rPr>
          <w:rFonts w:ascii="ＭＳ 明朝" w:hAnsi="ＭＳ 明朝" w:hint="eastAsia"/>
          <w:sz w:val="24"/>
        </w:rPr>
        <w:t>また</w:t>
      </w:r>
      <w:r w:rsidRPr="003F4BC8">
        <w:rPr>
          <w:rFonts w:ascii="ＭＳ 明朝" w:hAnsi="ＭＳ 明朝" w:hint="eastAsia"/>
          <w:sz w:val="24"/>
        </w:rPr>
        <w:t>は創</w:t>
      </w:r>
      <w:r w:rsidRPr="00CF7AE9">
        <w:rPr>
          <w:rFonts w:ascii="ＭＳ 明朝" w:hAnsi="ＭＳ 明朝" w:hint="eastAsia"/>
          <w:sz w:val="24"/>
        </w:rPr>
        <w:t>出したもの</w:t>
      </w:r>
    </w:p>
    <w:p w14:paraId="2A7076F7"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プロジェクト参加者は、自己に属する研究開発従事者が、研究開発従事者でなくなった後も含め、本条及び次条に規定する義務と同様の義務を、当該研究開発従事者に遵守させなければならない。</w:t>
      </w:r>
    </w:p>
    <w:p w14:paraId="3790BCD8" w14:textId="42CB319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３　前</w:t>
      </w:r>
      <w:r w:rsidR="00F065C4">
        <w:rPr>
          <w:rFonts w:ascii="ＭＳ 明朝" w:hAnsi="ＭＳ 明朝" w:hint="eastAsia"/>
          <w:sz w:val="24"/>
        </w:rPr>
        <w:t>二</w:t>
      </w:r>
      <w:r w:rsidRPr="00CF7AE9">
        <w:rPr>
          <w:rFonts w:ascii="ＭＳ 明朝" w:hAnsi="ＭＳ 明朝" w:hint="eastAsia"/>
          <w:sz w:val="24"/>
        </w:rPr>
        <w:t>項に定めるもののほか、本プロジェクトにおける秘密漏洩防止及び技術情報流出防止のために必要な措置については、知財運営委員会において決定するものとする。</w:t>
      </w:r>
    </w:p>
    <w:p w14:paraId="46A98B0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7146E0D5"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（本プロジェクトの成果の第三者への開示の事前承認）</w:t>
      </w:r>
    </w:p>
    <w:p w14:paraId="472C370D"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第５条　プロジェクト参加者は、知財運営委員会の承認を得ることなく、本プロジェクトの実施により得られた成果をプロジェクト参加者以外の第三者に対して開示し又は漏洩してはならない。</w:t>
      </w:r>
    </w:p>
    <w:p w14:paraId="0648C851"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31396FB1" w14:textId="083A4CF1"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（発明等の成果の届出及び権利化等方針の決定</w:t>
      </w:r>
      <w:r>
        <w:rPr>
          <w:rFonts w:ascii="ＭＳ 明朝" w:hAnsi="ＭＳ 明朝" w:hint="eastAsia"/>
          <w:sz w:val="24"/>
        </w:rPr>
        <w:t>手続</w:t>
      </w:r>
      <w:r w:rsidRPr="00CF7AE9">
        <w:rPr>
          <w:rFonts w:ascii="ＭＳ 明朝" w:hAnsi="ＭＳ 明朝" w:hint="eastAsia"/>
          <w:sz w:val="24"/>
        </w:rPr>
        <w:t>）</w:t>
      </w:r>
    </w:p>
    <w:p w14:paraId="037EAFD9"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第６条　プロジェクト参加者は、自己に属する研究開発従事者が、本プロジェクトの実施により発明等をなした場合には、直ちに知財運営委員会に対し、発明者等及び発明等の成果の内容を届け出なければならない。</w:t>
      </w:r>
    </w:p>
    <w:p w14:paraId="2E2CC371" w14:textId="719435FA"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知財運営委員会は、前項に基づく届出を受けた場合、別途定める知財運営委員会運営規則</w:t>
      </w:r>
      <w:r w:rsidR="005E7FF0" w:rsidRPr="005E7FF0">
        <w:rPr>
          <w:rFonts w:ascii="ＭＳ 明朝" w:hAnsi="ＭＳ 明朝" w:hint="eastAsia"/>
          <w:sz w:val="24"/>
        </w:rPr>
        <w:t>及び取扱い方針</w:t>
      </w:r>
      <w:r w:rsidRPr="00CF7AE9">
        <w:rPr>
          <w:rFonts w:ascii="ＭＳ 明朝" w:hAnsi="ＭＳ 明朝" w:hint="eastAsia"/>
          <w:sz w:val="24"/>
        </w:rPr>
        <w:t>に基づき、当該発明等の成果について、出願</w:t>
      </w:r>
      <w:r w:rsidR="005E7FF0">
        <w:rPr>
          <w:rFonts w:ascii="ＭＳ 明朝" w:hAnsi="ＭＳ 明朝" w:hint="eastAsia"/>
          <w:sz w:val="24"/>
        </w:rPr>
        <w:t>による</w:t>
      </w:r>
      <w:r w:rsidRPr="00CF7AE9">
        <w:rPr>
          <w:rFonts w:ascii="ＭＳ 明朝" w:hAnsi="ＭＳ 明朝" w:hint="eastAsia"/>
          <w:sz w:val="24"/>
        </w:rPr>
        <w:t>権利化</w:t>
      </w:r>
      <w:r w:rsidR="005E7FF0" w:rsidRPr="005E7FF0">
        <w:rPr>
          <w:rFonts w:ascii="ＭＳ 明朝" w:hAnsi="ＭＳ 明朝" w:hint="eastAsia"/>
          <w:sz w:val="24"/>
        </w:rPr>
        <w:t>、秘匿化、論文等による公表の要否を審議し、その取扱いを決定する。</w:t>
      </w:r>
      <w:r w:rsidRPr="00CF7AE9">
        <w:rPr>
          <w:rFonts w:ascii="ＭＳ 明朝" w:hAnsi="ＭＳ 明朝" w:hint="eastAsia"/>
          <w:sz w:val="24"/>
        </w:rPr>
        <w:t>出願により権利化する場合にあっては出願対象国、秘匿する場合にあっては秘匿期間等について</w:t>
      </w:r>
      <w:r w:rsidR="005E7FF0">
        <w:rPr>
          <w:rFonts w:ascii="ＭＳ 明朝" w:hAnsi="ＭＳ 明朝" w:hint="eastAsia"/>
          <w:sz w:val="24"/>
        </w:rPr>
        <w:t>も</w:t>
      </w:r>
      <w:r w:rsidRPr="00CF7AE9">
        <w:rPr>
          <w:rFonts w:ascii="ＭＳ 明朝" w:hAnsi="ＭＳ 明朝" w:hint="eastAsia"/>
          <w:sz w:val="24"/>
        </w:rPr>
        <w:t>審議し、決定する。</w:t>
      </w:r>
    </w:p>
    <w:p w14:paraId="065294F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29291262"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（出願による権利化）</w:t>
      </w:r>
    </w:p>
    <w:p w14:paraId="27B306D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第７条　プロジェクト参加者は、本プロジェクトの成果を出願により権利化するに当たっては、</w:t>
      </w:r>
      <w:r w:rsidRPr="00CF7AE9">
        <w:rPr>
          <w:rFonts w:asciiTheme="minorEastAsia" w:hAnsiTheme="minorEastAsia" w:hint="eastAsia"/>
          <w:sz w:val="24"/>
        </w:rPr>
        <w:t>海外においても市場展開が見込まれるのであれば、その市場規模や他社との競合状況等を勘案して権利化が必要と判断される国においても権利化することを</w:t>
      </w:r>
      <w:r w:rsidRPr="00CF7AE9">
        <w:rPr>
          <w:rFonts w:ascii="ＭＳ 明朝" w:hAnsi="ＭＳ 明朝" w:hint="eastAsia"/>
          <w:sz w:val="24"/>
        </w:rPr>
        <w:t>原則とする。</w:t>
      </w:r>
    </w:p>
    <w:p w14:paraId="1A1ABD7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知財運営委員会は、プロジェクト参加者と協議の上、プロジェクト参加者が出願による権利化を行わないと判断した国において出願する権利を他のプロジェクト参加者に譲渡させることができる。</w:t>
      </w:r>
    </w:p>
    <w:p w14:paraId="0EE2BFF8"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３　本プロジェクトの成果の出願等に要する費用は、原則として出願人が負担するものとする。</w:t>
      </w:r>
    </w:p>
    <w:p w14:paraId="2BEB42BE"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7B6C4EF5"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（本プロジェクトの実施により得られた知的財産権の帰属）</w:t>
      </w:r>
    </w:p>
    <w:p w14:paraId="051E0857" w14:textId="0B193298"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第８条　本プロジェクトの実施により得られた知的財産権（以下「フォアグラウンドＩＰ」という。）は、発明者等が属するプロジェクト参加者の職務発明規程等に基づき当該参加者に承継</w:t>
      </w:r>
      <w:r w:rsidR="00F065C4" w:rsidRPr="00F065C4">
        <w:rPr>
          <w:rFonts w:ascii="ＭＳ 明朝" w:hAnsi="ＭＳ 明朝" w:hint="eastAsia"/>
          <w:sz w:val="24"/>
        </w:rPr>
        <w:t>又は帰属</w:t>
      </w:r>
      <w:r w:rsidRPr="00CF7AE9">
        <w:rPr>
          <w:rFonts w:ascii="ＭＳ 明朝" w:hAnsi="ＭＳ 明朝" w:hint="eastAsia"/>
          <w:sz w:val="24"/>
        </w:rPr>
        <w:t>させるものとする。</w:t>
      </w:r>
    </w:p>
    <w:p w14:paraId="6C32A47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発明者等の所属するプロジェクト参加者が二以上に亘る場合にあっては、各プロジェクト参加者の持分は、当該プロジェクト参加者間で協議して決定するものとする。</w:t>
      </w:r>
    </w:p>
    <w:p w14:paraId="6DDCE955"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4EF05C63"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（共有するフォアグラウンドＩＰの取扱い）</w:t>
      </w:r>
    </w:p>
    <w:p w14:paraId="76151B3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第９条　プロジェクト参加者は、他のプロジェクト参加者と共有するフォアグラウンドＩＰについて、自由かつ無償にて実施できるものとする。</w:t>
      </w:r>
    </w:p>
    <w:p w14:paraId="22C1808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746D28A3"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ＭＳ 明朝" w:hAnsi="ＭＳ 明朝"/>
          <w:sz w:val="24"/>
        </w:rPr>
      </w:pPr>
      <w:r w:rsidRPr="00CF7AE9">
        <w:rPr>
          <w:rFonts w:ascii="ＭＳ 明朝" w:hAnsi="ＭＳ 明朝" w:hint="eastAsia"/>
          <w:sz w:val="24"/>
        </w:rPr>
        <w:lastRenderedPageBreak/>
        <w:t>（知的財産権の実施許諾）</w:t>
      </w:r>
    </w:p>
    <w:p w14:paraId="1ABCF4BF"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ind w:left="240" w:hangingChars="100" w:hanging="240"/>
        <w:rPr>
          <w:rFonts w:ascii="ＭＳ 明朝" w:hAnsi="ＭＳ 明朝"/>
          <w:sz w:val="24"/>
        </w:rPr>
      </w:pPr>
      <w:r w:rsidRPr="00CF7AE9">
        <w:rPr>
          <w:rFonts w:ascii="ＭＳ 明朝" w:hAnsi="ＭＳ 明朝" w:hint="eastAsia"/>
          <w:sz w:val="24"/>
        </w:rPr>
        <w:t>第１０条　プロジェクト参加者は、自己が保有する知的財産権（フォアグラウンドＩＰ以外の知的財産権を含む。以下本条において同じ。）について、本プロジェクト期間中における他のプロジェクト参加者による本プロジェクト内での研究開発活動に対しては、当該知的財産権を行使しないものとし、本プロジェクトの円滑な遂行に協力するものとする。ただし、プロジェクト参加者間で有償により実施許諾すること等の別段の取決めがある場合はこの限りでない。</w:t>
      </w:r>
    </w:p>
    <w:p w14:paraId="5E05FCDB"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Pr>
          <w:rFonts w:ascii="ＭＳ 明朝" w:hAnsi="ＭＳ 明朝" w:hint="eastAsia"/>
          <w:sz w:val="24"/>
        </w:rPr>
        <w:t>２</w:t>
      </w:r>
      <w:r w:rsidRPr="00CF7AE9">
        <w:rPr>
          <w:rFonts w:ascii="ＭＳ 明朝" w:hAnsi="ＭＳ 明朝" w:hint="eastAsia"/>
          <w:sz w:val="24"/>
        </w:rPr>
        <w:t xml:space="preserve">　前項の規定は、プロジェクト参加者が、保有するノウハウを他のプロジェクト参加者に対して開示することを義務づけるものではない。</w:t>
      </w:r>
    </w:p>
    <w:p w14:paraId="26C2439D" w14:textId="77777777" w:rsidR="00FC3C77"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p>
    <w:p w14:paraId="05A8A0A6" w14:textId="77777777" w:rsidR="00FC3C77" w:rsidRPr="001E22F8"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Pr>
          <w:rFonts w:ascii="ＭＳ 明朝" w:hAnsi="ＭＳ 明朝" w:hint="eastAsia"/>
          <w:sz w:val="24"/>
        </w:rPr>
        <w:t>（</w:t>
      </w:r>
      <w:r w:rsidRPr="001E22F8">
        <w:rPr>
          <w:rFonts w:ascii="ＭＳ 明朝" w:hAnsi="ＭＳ 明朝" w:hint="eastAsia"/>
          <w:sz w:val="24"/>
        </w:rPr>
        <w:t>プロジェクト成果の後継プロジェクトへの活用</w:t>
      </w:r>
      <w:r>
        <w:rPr>
          <w:rFonts w:ascii="ＭＳ 明朝" w:hAnsi="ＭＳ 明朝" w:hint="eastAsia"/>
          <w:sz w:val="24"/>
        </w:rPr>
        <w:t>）</w:t>
      </w:r>
    </w:p>
    <w:p w14:paraId="3127C624" w14:textId="32C426FB" w:rsidR="00FC3C77" w:rsidRPr="001E22F8"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Pr>
          <w:rFonts w:ascii="ＭＳ 明朝" w:hAnsi="ＭＳ 明朝" w:hint="eastAsia"/>
          <w:sz w:val="24"/>
        </w:rPr>
        <w:t>第１１条　エネルギー・環境新技術先導プログラム（又は新産業創出新技術先導研究プログラム</w:t>
      </w:r>
      <w:r w:rsidR="0048220E">
        <w:rPr>
          <w:rFonts w:ascii="ＭＳ 明朝" w:hAnsi="ＭＳ 明朝" w:cs="ＭＳ明朝" w:hint="eastAsia"/>
          <w:kern w:val="0"/>
          <w:sz w:val="24"/>
        </w:rPr>
        <w:t>又はフロンティア育成事業</w:t>
      </w:r>
      <w:r>
        <w:rPr>
          <w:rFonts w:ascii="ＭＳ 明朝" w:hAnsi="ＭＳ 明朝" w:hint="eastAsia"/>
          <w:sz w:val="24"/>
        </w:rPr>
        <w:t>）</w:t>
      </w:r>
      <w:r w:rsidRPr="001E22F8">
        <w:rPr>
          <w:rFonts w:ascii="ＭＳ 明朝" w:hAnsi="ＭＳ 明朝" w:hint="eastAsia"/>
          <w:sz w:val="24"/>
        </w:rPr>
        <w:t>の目的に照らして、フォアグラウンドＩＰの保有者は、プロジェクト成果を基にした後のプロジェクト（「後継プロジェクト」という。以下同じ。）が実施される場合には、後継プロジェクトの参加者の当該プロジェクト期間中における研究開発活動に対して、ＮＥＤＯが求めたときは、当該フォアグラウンドＩＰを実施許諾するものとする。</w:t>
      </w:r>
    </w:p>
    <w:p w14:paraId="5DE911A4"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p>
    <w:p w14:paraId="5156B41E"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Century" w:hAnsi="Century"/>
          <w:sz w:val="24"/>
        </w:rPr>
      </w:pPr>
      <w:r w:rsidRPr="00CF7AE9">
        <w:rPr>
          <w:rFonts w:ascii="Century" w:hAnsi="Century" w:hint="eastAsia"/>
          <w:sz w:val="24"/>
        </w:rPr>
        <w:t>（フォアグラウンドＩＰの移転先への義務の承継）</w:t>
      </w:r>
    </w:p>
    <w:p w14:paraId="0648C030"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Century" w:hAnsi="Century"/>
          <w:sz w:val="24"/>
        </w:rPr>
      </w:pPr>
      <w:r w:rsidRPr="00CF7AE9">
        <w:rPr>
          <w:rFonts w:ascii="Century" w:hAnsi="Century" w:hint="eastAsia"/>
          <w:sz w:val="24"/>
        </w:rPr>
        <w:t>第１</w:t>
      </w:r>
      <w:r>
        <w:rPr>
          <w:rFonts w:ascii="Century" w:hAnsi="Century" w:hint="eastAsia"/>
          <w:sz w:val="24"/>
        </w:rPr>
        <w:t>２</w:t>
      </w:r>
      <w:r w:rsidRPr="00CF7AE9">
        <w:rPr>
          <w:rFonts w:ascii="Century" w:hAnsi="Century" w:hint="eastAsia"/>
          <w:sz w:val="24"/>
        </w:rPr>
        <w:t>条　プロジェクト参加者は、フォアグラウンドＩＰの移転を行うときは、第７条から本条までの規定により課されている義務を負うよう当該知的財産権の移転先に約させなければならない。</w:t>
      </w:r>
    </w:p>
    <w:p w14:paraId="3001AA62"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p>
    <w:p w14:paraId="4AF24D3D"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r w:rsidRPr="00CF7AE9">
        <w:rPr>
          <w:rFonts w:ascii="ＭＳ 明朝" w:hAnsi="ＭＳ 明朝" w:hint="eastAsia"/>
          <w:sz w:val="24"/>
        </w:rPr>
        <w:t>（本プロジェクトから脱退したプロジェクト参加者の取扱い）</w:t>
      </w:r>
    </w:p>
    <w:p w14:paraId="4C89FC9E"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第１</w:t>
      </w:r>
      <w:r>
        <w:rPr>
          <w:rFonts w:ascii="ＭＳ 明朝" w:hAnsi="ＭＳ 明朝" w:hint="eastAsia"/>
          <w:sz w:val="24"/>
        </w:rPr>
        <w:t>３</w:t>
      </w:r>
      <w:r w:rsidRPr="00CF7AE9">
        <w:rPr>
          <w:rFonts w:ascii="ＭＳ 明朝" w:hAnsi="ＭＳ 明朝" w:hint="eastAsia"/>
          <w:sz w:val="24"/>
        </w:rPr>
        <w:t>条　プロジェクト参加者は、本プロジェクトから脱退した場合においても、本合意書により自己に課された義務を負うものとする。</w:t>
      </w:r>
    </w:p>
    <w:p w14:paraId="64AD22F8"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ＭＳ 明朝" w:hAnsi="ＭＳ 明朝"/>
          <w:sz w:val="24"/>
        </w:rPr>
      </w:pPr>
    </w:p>
    <w:p w14:paraId="612381AC"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ind w:left="240" w:hangingChars="100" w:hanging="240"/>
        <w:rPr>
          <w:rFonts w:ascii="ＭＳ 明朝" w:hAnsi="ＭＳ 明朝" w:cs="ＭＳ明朝"/>
          <w:kern w:val="0"/>
          <w:sz w:val="24"/>
        </w:rPr>
      </w:pPr>
      <w:r w:rsidRPr="00CF7AE9">
        <w:rPr>
          <w:rFonts w:ascii="ＭＳ 明朝" w:hAnsi="ＭＳ 明朝" w:cs="ＭＳ明朝" w:hint="eastAsia"/>
          <w:kern w:val="0"/>
          <w:sz w:val="24"/>
        </w:rPr>
        <w:t>（協議）</w:t>
      </w:r>
    </w:p>
    <w:p w14:paraId="2A328DCF"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ind w:left="240" w:hangingChars="100" w:hanging="240"/>
        <w:rPr>
          <w:rFonts w:ascii="ＭＳ 明朝" w:hAnsi="ＭＳ 明朝" w:cs="ＭＳ明朝"/>
          <w:kern w:val="0"/>
          <w:sz w:val="24"/>
        </w:rPr>
      </w:pPr>
      <w:r w:rsidRPr="00CF7AE9">
        <w:rPr>
          <w:rFonts w:ascii="ＭＳ 明朝" w:hAnsi="ＭＳ 明朝" w:cs="ＭＳ明朝" w:hint="eastAsia"/>
          <w:kern w:val="0"/>
          <w:sz w:val="24"/>
        </w:rPr>
        <w:t>第１</w:t>
      </w:r>
      <w:r>
        <w:rPr>
          <w:rFonts w:ascii="ＭＳ 明朝" w:hAnsi="ＭＳ 明朝" w:cs="ＭＳ明朝" w:hint="eastAsia"/>
          <w:kern w:val="0"/>
          <w:sz w:val="24"/>
        </w:rPr>
        <w:t>４</w:t>
      </w:r>
      <w:r w:rsidRPr="00CF7AE9">
        <w:rPr>
          <w:rFonts w:ascii="ＭＳ 明朝" w:hAnsi="ＭＳ 明朝" w:cs="ＭＳ明朝" w:hint="eastAsia"/>
          <w:kern w:val="0"/>
          <w:sz w:val="24"/>
        </w:rPr>
        <w:t>条　本合意書の解釈及びその他の事項につき疑義が生じたとき並びに本合意書にない事項について定める必要が生じたときは、知財運営委員会において審議し、決定するものとする。</w:t>
      </w:r>
    </w:p>
    <w:p w14:paraId="70770E5F"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ind w:left="240" w:hangingChars="100" w:hanging="240"/>
        <w:rPr>
          <w:rFonts w:ascii="ＭＳ 明朝" w:hAnsi="ＭＳ 明朝" w:cs="ＭＳ明朝"/>
          <w:kern w:val="0"/>
          <w:sz w:val="24"/>
        </w:rPr>
      </w:pPr>
    </w:p>
    <w:p w14:paraId="226F39FD"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Century" w:hAnsi="Century"/>
          <w:sz w:val="24"/>
        </w:rPr>
      </w:pPr>
      <w:r w:rsidRPr="00CF7AE9">
        <w:rPr>
          <w:rFonts w:ascii="Century" w:hAnsi="Century" w:hint="eastAsia"/>
          <w:sz w:val="24"/>
        </w:rPr>
        <w:t>（本合意書の改訂）</w:t>
      </w:r>
    </w:p>
    <w:p w14:paraId="201072E8"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ind w:left="240" w:hangingChars="100" w:hanging="240"/>
        <w:rPr>
          <w:rFonts w:ascii="Century" w:hAnsi="Century"/>
          <w:sz w:val="24"/>
        </w:rPr>
      </w:pPr>
      <w:r w:rsidRPr="00CF7AE9">
        <w:rPr>
          <w:rFonts w:ascii="Century" w:hAnsi="Century" w:hint="eastAsia"/>
          <w:sz w:val="24"/>
        </w:rPr>
        <w:t>第１</w:t>
      </w:r>
      <w:r>
        <w:rPr>
          <w:rFonts w:ascii="Century" w:hAnsi="Century" w:hint="eastAsia"/>
          <w:sz w:val="24"/>
        </w:rPr>
        <w:t>５</w:t>
      </w:r>
      <w:r w:rsidRPr="00CF7AE9">
        <w:rPr>
          <w:rFonts w:ascii="Century" w:hAnsi="Century" w:hint="eastAsia"/>
          <w:sz w:val="24"/>
        </w:rPr>
        <w:t>条　知財運営委員会は、全てのプロジェクト参加者による同意を得て本合意書の改訂を行うことができる。</w:t>
      </w:r>
    </w:p>
    <w:p w14:paraId="3214F983"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ind w:left="240" w:hangingChars="100" w:hanging="240"/>
        <w:rPr>
          <w:rFonts w:ascii="Century" w:hAnsi="Century"/>
          <w:sz w:val="24"/>
        </w:rPr>
      </w:pPr>
      <w:r w:rsidRPr="00CF7AE9">
        <w:rPr>
          <w:rFonts w:ascii="Century" w:hAnsi="Century" w:hint="eastAsia"/>
          <w:sz w:val="24"/>
        </w:rPr>
        <w:t>２　知財運営委員会は、本合意書の改訂を行う場合は、事前に国に届け出るものとする。</w:t>
      </w:r>
    </w:p>
    <w:p w14:paraId="69B4D826"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ＭＳ 明朝" w:hAnsi="ＭＳ 明朝"/>
          <w:sz w:val="24"/>
        </w:rPr>
      </w:pPr>
    </w:p>
    <w:p w14:paraId="59D52788"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rPr>
          <w:rFonts w:ascii="ＭＳ 明朝" w:hAnsi="ＭＳ 明朝"/>
          <w:sz w:val="24"/>
        </w:rPr>
      </w:pPr>
      <w:r w:rsidRPr="00CF7AE9">
        <w:rPr>
          <w:rFonts w:ascii="ＭＳ 明朝" w:hAnsi="ＭＳ 明朝" w:hint="eastAsia"/>
          <w:sz w:val="24"/>
        </w:rPr>
        <w:t>（有効期間及び残存条項）</w:t>
      </w:r>
    </w:p>
    <w:p w14:paraId="615A84AA"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第１</w:t>
      </w:r>
      <w:r>
        <w:rPr>
          <w:rFonts w:ascii="ＭＳ 明朝" w:hAnsi="ＭＳ 明朝" w:hint="eastAsia"/>
          <w:sz w:val="24"/>
        </w:rPr>
        <w:t>６</w:t>
      </w:r>
      <w:r w:rsidRPr="00CF7AE9">
        <w:rPr>
          <w:rFonts w:ascii="ＭＳ 明朝" w:hAnsi="ＭＳ 明朝" w:hint="eastAsia"/>
          <w:sz w:val="24"/>
        </w:rPr>
        <w:t>条　本合意書は、○年○月○日より発効し、本プロジェクトの終了後○年経過するまでは有効とする。</w:t>
      </w:r>
    </w:p>
    <w:p w14:paraId="68A05C0D" w14:textId="77777777" w:rsidR="00FC3C77" w:rsidRPr="00CF7AE9" w:rsidRDefault="00FC3C77" w:rsidP="00FC3C77">
      <w:pPr>
        <w:pBdr>
          <w:top w:val="single" w:sz="4" w:space="1" w:color="auto"/>
          <w:left w:val="single" w:sz="4" w:space="1" w:color="auto"/>
          <w:bottom w:val="single" w:sz="4" w:space="1" w:color="auto"/>
          <w:right w:val="single" w:sz="4" w:space="1" w:color="auto"/>
        </w:pBdr>
        <w:spacing w:line="360" w:lineRule="exact"/>
        <w:ind w:left="240" w:hangingChars="100" w:hanging="240"/>
        <w:rPr>
          <w:rFonts w:ascii="ＭＳ 明朝" w:hAnsi="ＭＳ 明朝"/>
          <w:sz w:val="24"/>
        </w:rPr>
      </w:pPr>
      <w:r w:rsidRPr="00CF7AE9">
        <w:rPr>
          <w:rFonts w:ascii="ＭＳ 明朝" w:hAnsi="ＭＳ 明朝" w:hint="eastAsia"/>
          <w:sz w:val="24"/>
        </w:rPr>
        <w:t>２　前項の規定にかかわらず、第４条の規定は、情報開示者が秘匿すべきとして明示した期間中は有効とし、第７条から第１</w:t>
      </w:r>
      <w:r>
        <w:rPr>
          <w:rFonts w:ascii="ＭＳ 明朝" w:hAnsi="ＭＳ 明朝" w:hint="eastAsia"/>
          <w:sz w:val="24"/>
        </w:rPr>
        <w:t>２</w:t>
      </w:r>
      <w:r w:rsidRPr="00CF7AE9">
        <w:rPr>
          <w:rFonts w:ascii="ＭＳ 明朝" w:hAnsi="ＭＳ 明朝" w:hint="eastAsia"/>
          <w:sz w:val="24"/>
        </w:rPr>
        <w:t>条までの規定は、フォアグラウンドＩＰの権利存続期</w:t>
      </w:r>
      <w:r w:rsidRPr="00CF7AE9">
        <w:rPr>
          <w:rFonts w:ascii="ＭＳ 明朝" w:hAnsi="ＭＳ 明朝" w:hint="eastAsia"/>
          <w:sz w:val="24"/>
        </w:rPr>
        <w:lastRenderedPageBreak/>
        <w:t>間中は、当該存続するフォアグラウンドＩＰについて有効とする。</w:t>
      </w:r>
    </w:p>
    <w:p w14:paraId="6AF846F2" w14:textId="77777777" w:rsidR="00FC3C77" w:rsidRPr="00CF7AE9" w:rsidRDefault="00FC3C77" w:rsidP="00FC3C77">
      <w:pPr>
        <w:pBdr>
          <w:top w:val="single" w:sz="4" w:space="1" w:color="auto"/>
          <w:left w:val="single" w:sz="4" w:space="1" w:color="auto"/>
          <w:bottom w:val="single" w:sz="4" w:space="1" w:color="auto"/>
          <w:right w:val="single" w:sz="4" w:space="1" w:color="auto"/>
        </w:pBdr>
        <w:tabs>
          <w:tab w:val="num" w:pos="525"/>
        </w:tabs>
        <w:spacing w:line="360" w:lineRule="exact"/>
        <w:rPr>
          <w:rFonts w:ascii="ＭＳ 明朝" w:hAnsi="ＭＳ 明朝"/>
          <w:sz w:val="24"/>
        </w:rPr>
      </w:pPr>
    </w:p>
    <w:p w14:paraId="51C6A527" w14:textId="19FC5900"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ind w:firstLineChars="100" w:firstLine="240"/>
        <w:rPr>
          <w:rFonts w:ascii="ＭＳ 明朝" w:hAnsi="ＭＳ 明朝" w:cs="ＭＳ明朝"/>
          <w:kern w:val="0"/>
          <w:sz w:val="24"/>
        </w:rPr>
      </w:pPr>
      <w:r w:rsidRPr="00CF7AE9">
        <w:rPr>
          <w:rFonts w:ascii="ＭＳ 明朝" w:hAnsi="ＭＳ 明朝" w:cs="ＭＳ明朝" w:hint="eastAsia"/>
          <w:kern w:val="0"/>
          <w:sz w:val="24"/>
        </w:rPr>
        <w:t>本合意書が有効であることの証として本書○○通を作成し、本プロジェクトの当事者である</w:t>
      </w:r>
      <w:r w:rsidR="00C9447C" w:rsidRPr="00C9447C">
        <w:rPr>
          <w:rFonts w:ascii="ＭＳ 明朝" w:hAnsi="ＭＳ 明朝" w:cs="ＭＳ明朝" w:hint="eastAsia"/>
          <w:kern w:val="0"/>
          <w:sz w:val="24"/>
        </w:rPr>
        <w:t>プロジェクト参加者</w:t>
      </w:r>
      <w:r w:rsidRPr="00CF7AE9">
        <w:rPr>
          <w:rFonts w:ascii="ＭＳ 明朝" w:hAnsi="ＭＳ 明朝" w:cs="ＭＳ明朝" w:hint="eastAsia"/>
          <w:kern w:val="0"/>
          <w:sz w:val="24"/>
        </w:rPr>
        <w:t>がそれぞれ</w:t>
      </w:r>
      <w:r w:rsidR="00F065C4" w:rsidRPr="00F065C4">
        <w:rPr>
          <w:rFonts w:ascii="ＭＳ 明朝" w:hAnsi="ＭＳ 明朝" w:cs="ＭＳ明朝" w:hint="eastAsia"/>
          <w:kern w:val="0"/>
          <w:sz w:val="24"/>
        </w:rPr>
        <w:t>署名（又は記名押印）</w:t>
      </w:r>
      <w:r w:rsidRPr="00CF7AE9">
        <w:rPr>
          <w:rFonts w:ascii="ＭＳ 明朝" w:hAnsi="ＭＳ 明朝" w:cs="ＭＳ明朝" w:hint="eastAsia"/>
          <w:kern w:val="0"/>
          <w:sz w:val="24"/>
        </w:rPr>
        <w:t>の上１通を保有する。</w:t>
      </w:r>
    </w:p>
    <w:p w14:paraId="4CBAB118"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spacing w:line="360" w:lineRule="exact"/>
        <w:rPr>
          <w:rFonts w:ascii="ＭＳ 明朝" w:hAnsi="ＭＳ 明朝" w:cs="ＭＳ明朝"/>
          <w:kern w:val="0"/>
          <w:sz w:val="24"/>
        </w:rPr>
      </w:pPr>
    </w:p>
    <w:p w14:paraId="3128BD16" w14:textId="77777777" w:rsidR="00FC3C77" w:rsidRPr="00CF7AE9" w:rsidRDefault="007D27E0" w:rsidP="00FC3C77">
      <w:pPr>
        <w:pBdr>
          <w:top w:val="single" w:sz="4" w:space="1" w:color="auto"/>
          <w:left w:val="single" w:sz="4" w:space="1" w:color="auto"/>
          <w:bottom w:val="single" w:sz="4" w:space="1" w:color="auto"/>
          <w:right w:val="single" w:sz="4" w:space="1" w:color="auto"/>
        </w:pBdr>
        <w:autoSpaceDE w:val="0"/>
        <w:autoSpaceDN w:val="0"/>
        <w:spacing w:line="360" w:lineRule="exact"/>
        <w:ind w:firstLineChars="100" w:firstLine="240"/>
        <w:rPr>
          <w:rFonts w:ascii="ＭＳ 明朝" w:hAnsi="ＭＳ 明朝" w:cs="ＭＳ明朝"/>
          <w:kern w:val="0"/>
          <w:sz w:val="24"/>
        </w:rPr>
      </w:pPr>
      <w:r>
        <w:rPr>
          <w:rFonts w:ascii="ＭＳ 明朝" w:hAnsi="ＭＳ 明朝" w:cs="ＭＳ明朝" w:hint="eastAsia"/>
          <w:kern w:val="0"/>
          <w:sz w:val="24"/>
        </w:rPr>
        <w:t>２０○</w:t>
      </w:r>
      <w:r w:rsidR="00FC3C77" w:rsidRPr="00CF7AE9">
        <w:rPr>
          <w:rFonts w:ascii="ＭＳ 明朝" w:hAnsi="ＭＳ 明朝" w:cs="ＭＳ明朝" w:hint="eastAsia"/>
          <w:kern w:val="0"/>
          <w:sz w:val="24"/>
        </w:rPr>
        <w:t>○年○</w:t>
      </w:r>
      <w:r>
        <w:rPr>
          <w:rFonts w:ascii="ＭＳ 明朝" w:hAnsi="ＭＳ 明朝" w:cs="ＭＳ明朝" w:hint="eastAsia"/>
          <w:kern w:val="0"/>
          <w:sz w:val="24"/>
        </w:rPr>
        <w:t>○</w:t>
      </w:r>
      <w:r w:rsidR="00FC3C77" w:rsidRPr="00CF7AE9">
        <w:rPr>
          <w:rFonts w:ascii="ＭＳ 明朝" w:hAnsi="ＭＳ 明朝" w:cs="ＭＳ明朝" w:hint="eastAsia"/>
          <w:kern w:val="0"/>
          <w:sz w:val="24"/>
        </w:rPr>
        <w:t>月</w:t>
      </w:r>
      <w:r>
        <w:rPr>
          <w:rFonts w:ascii="ＭＳ 明朝" w:hAnsi="ＭＳ 明朝" w:cs="ＭＳ明朝" w:hint="eastAsia"/>
          <w:kern w:val="0"/>
          <w:sz w:val="24"/>
        </w:rPr>
        <w:t>○</w:t>
      </w:r>
      <w:r w:rsidR="00FC3C77" w:rsidRPr="00CF7AE9">
        <w:rPr>
          <w:rFonts w:ascii="ＭＳ 明朝" w:hAnsi="ＭＳ 明朝" w:cs="ＭＳ明朝" w:hint="eastAsia"/>
          <w:kern w:val="0"/>
          <w:sz w:val="24"/>
        </w:rPr>
        <w:t>○日</w:t>
      </w:r>
    </w:p>
    <w:p w14:paraId="02EAC6E5"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p>
    <w:p w14:paraId="03DCE0C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（住所）</w:t>
      </w:r>
    </w:p>
    <w:p w14:paraId="4BA75AB4"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（法人名）</w:t>
      </w:r>
    </w:p>
    <w:p w14:paraId="6E4F8F42" w14:textId="00EF17FD"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（代表者氏名）　　</w:t>
      </w:r>
    </w:p>
    <w:p w14:paraId="7D37CCC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p>
    <w:p w14:paraId="60B7435B"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（住所）</w:t>
      </w:r>
    </w:p>
    <w:p w14:paraId="719FF743"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（法人名）</w:t>
      </w:r>
    </w:p>
    <w:p w14:paraId="20DDB330" w14:textId="6F780738"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（代表者氏名）　　</w:t>
      </w:r>
    </w:p>
    <w:p w14:paraId="742FF700" w14:textId="77777777" w:rsidR="00FC3C77" w:rsidRPr="00CF7AE9" w:rsidRDefault="00FC3C77" w:rsidP="00FC3C77">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w:t>
      </w:r>
    </w:p>
    <w:p w14:paraId="5D6DC4FF" w14:textId="3509E49E" w:rsidR="00FC3C77" w:rsidRPr="00CF7AE9" w:rsidRDefault="00FC3C77" w:rsidP="00B269D8">
      <w:pPr>
        <w:pBdr>
          <w:top w:val="single" w:sz="4" w:space="1" w:color="auto"/>
          <w:left w:val="single" w:sz="4" w:space="1" w:color="auto"/>
          <w:bottom w:val="single" w:sz="4" w:space="1" w:color="auto"/>
          <w:right w:val="single" w:sz="4" w:space="1" w:color="auto"/>
        </w:pBdr>
        <w:autoSpaceDE w:val="0"/>
        <w:autoSpaceDN w:val="0"/>
        <w:adjustRightInd w:val="0"/>
        <w:spacing w:line="360" w:lineRule="exact"/>
        <w:rPr>
          <w:rFonts w:ascii="ＭＳ 明朝" w:hAnsi="ＭＳ 明朝"/>
          <w:sz w:val="24"/>
        </w:rPr>
      </w:pPr>
      <w:r w:rsidRPr="00CF7AE9">
        <w:rPr>
          <w:rFonts w:ascii="ＭＳ 明朝" w:hAnsi="ＭＳ 明朝" w:hint="eastAsia"/>
          <w:sz w:val="24"/>
        </w:rPr>
        <w:t xml:space="preserve">　　　　　　　　　　　　　　　　　　　　　　　　</w:t>
      </w:r>
    </w:p>
    <w:p w14:paraId="572B4500" w14:textId="77777777" w:rsidR="00FC3C77" w:rsidRPr="00CF7AE9" w:rsidRDefault="00FC3C77" w:rsidP="00FC3C77">
      <w:pPr>
        <w:widowControl/>
        <w:jc w:val="left"/>
        <w:rPr>
          <w:rFonts w:ascii="ＭＳ 明朝" w:hAnsi="ＭＳ 明朝"/>
          <w:sz w:val="22"/>
        </w:rPr>
      </w:pPr>
    </w:p>
    <w:p w14:paraId="3202ED17" w14:textId="77777777" w:rsidR="00FC3C77" w:rsidRPr="00791ADD" w:rsidRDefault="00FC3C77" w:rsidP="00FC3C77">
      <w:pPr>
        <w:jc w:val="left"/>
      </w:pPr>
    </w:p>
    <w:p w14:paraId="354E47E6" w14:textId="77777777" w:rsidR="00FC3C77" w:rsidRPr="00A174A9" w:rsidRDefault="00FC3C77" w:rsidP="00FC3C77">
      <w:pPr>
        <w:jc w:val="left"/>
      </w:pPr>
    </w:p>
    <w:p w14:paraId="17291368" w14:textId="77777777" w:rsidR="004073C1" w:rsidRPr="00FC3C77" w:rsidRDefault="004073C1"/>
    <w:sectPr w:rsidR="004073C1" w:rsidRPr="00FC3C77" w:rsidSect="0036332B">
      <w:pgSz w:w="11906" w:h="16838" w:code="9"/>
      <w:pgMar w:top="851" w:right="1077" w:bottom="851" w:left="1077" w:header="851" w:footer="73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CA3D" w14:textId="77777777" w:rsidR="00B626BA" w:rsidRDefault="00B626BA">
      <w:r>
        <w:separator/>
      </w:r>
    </w:p>
  </w:endnote>
  <w:endnote w:type="continuationSeparator" w:id="0">
    <w:p w14:paraId="203B7FF5" w14:textId="77777777" w:rsidR="00B626BA" w:rsidRDefault="00B6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6579" w14:textId="77777777" w:rsidR="00B626BA" w:rsidRDefault="00B626BA">
      <w:r>
        <w:separator/>
      </w:r>
    </w:p>
  </w:footnote>
  <w:footnote w:type="continuationSeparator" w:id="0">
    <w:p w14:paraId="493D17D2" w14:textId="77777777" w:rsidR="00B626BA" w:rsidRDefault="00B62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77"/>
    <w:rsid w:val="00171ECC"/>
    <w:rsid w:val="002C22CA"/>
    <w:rsid w:val="002E5C92"/>
    <w:rsid w:val="003C40D2"/>
    <w:rsid w:val="004073C1"/>
    <w:rsid w:val="00417CC7"/>
    <w:rsid w:val="00444F1E"/>
    <w:rsid w:val="004545BF"/>
    <w:rsid w:val="00472380"/>
    <w:rsid w:val="004729B7"/>
    <w:rsid w:val="0048220E"/>
    <w:rsid w:val="004A22DA"/>
    <w:rsid w:val="005817B9"/>
    <w:rsid w:val="005E7FF0"/>
    <w:rsid w:val="00604AF3"/>
    <w:rsid w:val="006E7579"/>
    <w:rsid w:val="007D27E0"/>
    <w:rsid w:val="00843175"/>
    <w:rsid w:val="009103D2"/>
    <w:rsid w:val="009B7B7B"/>
    <w:rsid w:val="009C42FE"/>
    <w:rsid w:val="00A4621D"/>
    <w:rsid w:val="00AB4F0E"/>
    <w:rsid w:val="00B269D8"/>
    <w:rsid w:val="00B626BA"/>
    <w:rsid w:val="00B834E2"/>
    <w:rsid w:val="00C9447C"/>
    <w:rsid w:val="00CC3455"/>
    <w:rsid w:val="00D06B46"/>
    <w:rsid w:val="00D74670"/>
    <w:rsid w:val="00D81BAA"/>
    <w:rsid w:val="00D96AB7"/>
    <w:rsid w:val="00E327AB"/>
    <w:rsid w:val="00E7746D"/>
    <w:rsid w:val="00F065C4"/>
    <w:rsid w:val="00F7031D"/>
    <w:rsid w:val="00F8496C"/>
    <w:rsid w:val="00FC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7A2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C77"/>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3C77"/>
    <w:pPr>
      <w:tabs>
        <w:tab w:val="center" w:pos="4252"/>
        <w:tab w:val="right" w:pos="8504"/>
      </w:tabs>
      <w:snapToGrid w:val="0"/>
    </w:pPr>
  </w:style>
  <w:style w:type="character" w:customStyle="1" w:styleId="a4">
    <w:name w:val="フッター (文字)"/>
    <w:basedOn w:val="a0"/>
    <w:link w:val="a3"/>
    <w:uiPriority w:val="99"/>
    <w:rsid w:val="00FC3C77"/>
    <w:rPr>
      <w:rFonts w:ascii="TmsRmn" w:eastAsia="ＭＳ 明朝" w:hAnsi="TmsRmn" w:cs="Times New Roman"/>
      <w:szCs w:val="24"/>
    </w:rPr>
  </w:style>
  <w:style w:type="character" w:styleId="a5">
    <w:name w:val="page number"/>
    <w:basedOn w:val="a0"/>
    <w:rsid w:val="00FC3C77"/>
  </w:style>
  <w:style w:type="paragraph" w:styleId="a6">
    <w:name w:val="header"/>
    <w:basedOn w:val="a"/>
    <w:link w:val="a7"/>
    <w:uiPriority w:val="99"/>
    <w:unhideWhenUsed/>
    <w:rsid w:val="002C22CA"/>
    <w:pPr>
      <w:tabs>
        <w:tab w:val="center" w:pos="4252"/>
        <w:tab w:val="right" w:pos="8504"/>
      </w:tabs>
      <w:snapToGrid w:val="0"/>
    </w:pPr>
  </w:style>
  <w:style w:type="character" w:customStyle="1" w:styleId="a7">
    <w:name w:val="ヘッダー (文字)"/>
    <w:basedOn w:val="a0"/>
    <w:link w:val="a6"/>
    <w:uiPriority w:val="99"/>
    <w:rsid w:val="002C22CA"/>
    <w:rPr>
      <w:rFonts w:ascii="TmsRmn" w:eastAsia="ＭＳ 明朝" w:hAnsi="TmsRmn" w:cs="Times New Roman"/>
      <w:szCs w:val="24"/>
    </w:rPr>
  </w:style>
  <w:style w:type="paragraph" w:styleId="a8">
    <w:name w:val="Revision"/>
    <w:hidden/>
    <w:uiPriority w:val="99"/>
    <w:semiHidden/>
    <w:rsid w:val="004A22DA"/>
    <w:rPr>
      <w:rFonts w:ascii="TmsRmn" w:eastAsia="ＭＳ 明朝" w:hAnsi="TmsRm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5</Pages>
  <Words>4373</Words>
  <Characters>4373</Characters>
  <DocSecurity>0</DocSecurity>
  <Lines>187</Lines>
  <Paragraphs>79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