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2"/>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5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56E"/>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F15"/>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595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EA7"/>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