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0CEBB7E8" w:rsidR="005C4B0C" w:rsidRPr="001F0D7D" w:rsidRDefault="005C4B0C" w:rsidP="005C4B0C">
                            <w:pPr>
                              <w:jc w:val="center"/>
                              <w:rPr>
                                <w:sz w:val="24"/>
                              </w:rPr>
                            </w:pPr>
                            <w:r>
                              <w:rPr>
                                <w:rFonts w:hint="eastAsia"/>
                                <w:sz w:val="24"/>
                              </w:rPr>
                              <w:t>別添</w:t>
                            </w:r>
                            <w:r w:rsidR="0038105D">
                              <w:rPr>
                                <w:rFonts w:hint="eastAsia"/>
                                <w:sz w:val="24"/>
                              </w:rPr>
                              <w:t>8</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0CEBB7E8" w:rsidR="005C4B0C" w:rsidRPr="001F0D7D" w:rsidRDefault="005C4B0C" w:rsidP="005C4B0C">
                      <w:pPr>
                        <w:jc w:val="center"/>
                        <w:rPr>
                          <w:sz w:val="24"/>
                        </w:rPr>
                      </w:pPr>
                      <w:r>
                        <w:rPr>
                          <w:rFonts w:hint="eastAsia"/>
                          <w:sz w:val="24"/>
                        </w:rPr>
                        <w:t>別添</w:t>
                      </w:r>
                      <w:r w:rsidR="0038105D">
                        <w:rPr>
                          <w:rFonts w:hint="eastAsia"/>
                          <w:sz w:val="24"/>
                        </w:rPr>
                        <w:t>8</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8" w:history="1">
        <w:r w:rsidRPr="004A494C">
          <w:rPr>
            <w:rStyle w:val="affc"/>
            <w:rFonts w:asciiTheme="minorEastAsia" w:eastAsiaTheme="minorEastAsia" w:hAnsiTheme="minorEastAsia"/>
            <w:szCs w:val="21"/>
          </w:rPr>
          <w:t>https://www.meti.go.jp/policy/economy/chizai/chiteki/trade-secret.html</w:t>
        </w:r>
      </w:hyperlink>
    </w:p>
    <w:p w14:paraId="091B8CB7" w14:textId="17AF92DA"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C62B8E" w:rsidRPr="00C62B8E">
        <w:rPr>
          <w:rFonts w:asciiTheme="minorEastAsia" w:eastAsiaTheme="minorEastAsia" w:hAnsiTheme="minorEastAsia" w:hint="eastAsia"/>
          <w:color w:val="0070C0"/>
          <w:szCs w:val="21"/>
        </w:rPr>
        <w:t>５．企業等が経済安全保障の観点から対策を行う際の参考ツール</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9"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A854" w14:textId="77777777" w:rsidR="005C0F5D" w:rsidRDefault="005C0F5D">
      <w:r>
        <w:separator/>
      </w:r>
    </w:p>
  </w:endnote>
  <w:endnote w:type="continuationSeparator" w:id="0">
    <w:p w14:paraId="448445BF" w14:textId="77777777" w:rsidR="005C0F5D" w:rsidRDefault="005C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2538" w14:textId="77777777" w:rsidR="005C0F5D" w:rsidRDefault="005C0F5D">
      <w:r>
        <w:separator/>
      </w:r>
    </w:p>
  </w:footnote>
  <w:footnote w:type="continuationSeparator" w:id="0">
    <w:p w14:paraId="248B675C" w14:textId="77777777" w:rsidR="005C0F5D" w:rsidRDefault="005C0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12A9"/>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0BA4"/>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05D"/>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0F5D"/>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BB3"/>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2D69"/>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13E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5CE4"/>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561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meti.go.jp/policy/economy/chizai/chiteki/trade-secret.html" TargetMode="External" Type="http://schemas.openxmlformats.org/officeDocument/2006/relationships/hyperlink"/><Relationship Id="rId9" Target="https://www.meti.go.jp/policy/economy/economic_security/"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05DB9"/>
    <w:rsid w:val="002C5024"/>
    <w:rsid w:val="002F0018"/>
    <w:rsid w:val="002F36D2"/>
    <w:rsid w:val="002F6ACF"/>
    <w:rsid w:val="003E053F"/>
    <w:rsid w:val="00410F4B"/>
    <w:rsid w:val="004932D5"/>
    <w:rsid w:val="00817095"/>
    <w:rsid w:val="008A6162"/>
    <w:rsid w:val="00932D69"/>
    <w:rsid w:val="00A41F50"/>
    <w:rsid w:val="00A63F87"/>
    <w:rsid w:val="00AE2B39"/>
    <w:rsid w:val="00BD265B"/>
    <w:rsid w:val="00BE13EE"/>
    <w:rsid w:val="00BF417B"/>
    <w:rsid w:val="00C75CE4"/>
    <w:rsid w:val="00C93EAC"/>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491</Words>
  <Characters>2804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