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0CA3F169" w14:textId="405820DB" w:rsidR="001A7770" w:rsidRPr="001A7770" w:rsidRDefault="00F20622" w:rsidP="001A7770">
      <w:pPr>
        <w:pStyle w:val="affffd"/>
        <w:numPr>
          <w:ilvl w:val="0"/>
          <w:numId w:val="46"/>
        </w:numPr>
        <w:ind w:firstLineChars="0"/>
        <w:rPr>
          <w:rFonts w:hAnsi="ＭＳ 明朝" w:hint="eastAsia"/>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lang w:eastAsia="zh-CN"/>
              </w:rPr>
            </w:pPr>
            <w:r w:rsidRPr="00703555">
              <w:rPr>
                <w:rFonts w:hint="eastAsia"/>
                <w:kern w:val="0"/>
                <w:szCs w:val="21"/>
                <w:lang w:eastAsia="zh-CN"/>
              </w:rPr>
              <w:t>課税所得年平均額</w:t>
            </w:r>
            <w:r w:rsidRPr="00703555">
              <w:rPr>
                <w:rFonts w:hint="eastAsia"/>
                <w:kern w:val="0"/>
                <w:szCs w:val="21"/>
                <w:lang w:eastAsia="zh-CN"/>
              </w:rPr>
              <w:t>15</w:t>
            </w:r>
            <w:r w:rsidRPr="00703555">
              <w:rPr>
                <w:rFonts w:hint="eastAsia"/>
                <w:kern w:val="0"/>
                <w:szCs w:val="21"/>
                <w:lang w:eastAsia="zh-CN"/>
              </w:rPr>
              <w:t>億円以下</w:t>
            </w:r>
            <w:r w:rsidRPr="004B47E1">
              <w:rPr>
                <w:rFonts w:hint="eastAsia"/>
                <w:kern w:val="0"/>
                <w:szCs w:val="21"/>
                <w:vertAlign w:val="superscript"/>
                <w:lang w:eastAsia="zh-CN"/>
              </w:rPr>
              <w:t>※</w:t>
            </w:r>
            <w:r>
              <w:rPr>
                <w:rFonts w:hint="eastAsia"/>
                <w:kern w:val="0"/>
                <w:szCs w:val="21"/>
                <w:vertAlign w:val="superscript"/>
                <w:lang w:eastAsia="zh-CN"/>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w:t>
            </w:r>
            <w:proofErr w:type="gramStart"/>
            <w:r w:rsidRPr="00783F12">
              <w:rPr>
                <w:rFonts w:hint="eastAsia"/>
                <w:i/>
                <w:iCs/>
                <w:color w:val="0070C0"/>
                <w:kern w:val="0"/>
                <w:sz w:val="20"/>
                <w:szCs w:val="20"/>
              </w:rPr>
              <w:t>無し</w:t>
            </w:r>
            <w:proofErr w:type="gramEnd"/>
            <w:r w:rsidRPr="00783F12">
              <w:rPr>
                <w:rFonts w:hint="eastAsia"/>
                <w:i/>
                <w:iCs/>
                <w:color w:val="0070C0"/>
                <w:kern w:val="0"/>
                <w:sz w:val="20"/>
                <w:szCs w:val="20"/>
              </w:rPr>
              <w:t>」と記載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w:t>
            </w:r>
            <w:proofErr w:type="gramStart"/>
            <w:r w:rsidRPr="00783F12">
              <w:rPr>
                <w:rFonts w:hint="eastAsia"/>
                <w:i/>
                <w:iCs/>
                <w:color w:val="0070C0"/>
                <w:kern w:val="0"/>
                <w:sz w:val="20"/>
                <w:szCs w:val="20"/>
              </w:rPr>
              <w:t>無し</w:t>
            </w:r>
            <w:proofErr w:type="gramEnd"/>
            <w:r w:rsidRPr="00783F12">
              <w:rPr>
                <w:rFonts w:hint="eastAsia"/>
                <w:i/>
                <w:iCs/>
                <w:color w:val="0070C0"/>
                <w:kern w:val="0"/>
                <w:sz w:val="20"/>
                <w:szCs w:val="20"/>
              </w:rPr>
              <w:t>」と記載</w:t>
            </w:r>
          </w:p>
        </w:tc>
      </w:tr>
      <w:bookmarkEnd w:id="1"/>
      <w:bookmarkEnd w:id="2"/>
      <w:bookmarkEnd w:id="3"/>
      <w:bookmarkEnd w:id="4"/>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CB3A" w14:textId="77777777" w:rsidR="0039576F" w:rsidRDefault="0039576F">
      <w:r>
        <w:separator/>
      </w:r>
    </w:p>
  </w:endnote>
  <w:endnote w:type="continuationSeparator" w:id="0">
    <w:p w14:paraId="43954B9B" w14:textId="77777777" w:rsidR="0039576F" w:rsidRDefault="0039576F">
      <w:r>
        <w:continuationSeparator/>
      </w:r>
    </w:p>
  </w:endnote>
  <w:endnote w:type="continuationNotice" w:id="1">
    <w:p w14:paraId="106642D9" w14:textId="77777777" w:rsidR="0039576F" w:rsidRDefault="00395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472E" w14:textId="77777777" w:rsidR="0039576F" w:rsidRDefault="0039576F">
      <w:r>
        <w:separator/>
      </w:r>
    </w:p>
  </w:footnote>
  <w:footnote w:type="continuationSeparator" w:id="0">
    <w:p w14:paraId="1A9BA153" w14:textId="77777777" w:rsidR="0039576F" w:rsidRDefault="0039576F">
      <w:r>
        <w:continuationSeparator/>
      </w:r>
    </w:p>
  </w:footnote>
  <w:footnote w:type="continuationNotice" w:id="1">
    <w:p w14:paraId="18A9651A" w14:textId="77777777" w:rsidR="0039576F" w:rsidRDefault="00395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770"/>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76F"/>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0BE6"/>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055ab9afd56870fd20657013eb2bee53">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48dea115180919768a9922ec4107e828"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F7960-E998-4A7B-8056-2DBCB692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41D98-5D45-4987-A1DD-B4389A71B0E0}">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3.xml><?xml version="1.0" encoding="utf-8"?>
<ds:datastoreItem xmlns:ds="http://schemas.openxmlformats.org/officeDocument/2006/customXml" ds:itemID="{4AA3ACCA-6E79-4670-81EA-67AC70111D89}">
  <ds:schemaRefs>
    <ds:schemaRef ds:uri="http://schemas.microsoft.com/sharepoint/v3/contenttype/forms"/>
  </ds:schemaRefs>
</ds:datastoreItem>
</file>

<file path=customXml/itemProps4.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1242</Characters>
  <Application>Microsoft Office Word</Application>
  <DocSecurity>0</DocSecurity>
  <Lines>46</Lines>
  <Paragraphs>43</Paragraphs>
  <ScaleCrop>false</ScaleCrop>
  <Company/>
  <LinksUpToDate>false</LinksUpToDate>
  <CharactersWithSpaces>2288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2025-07-15T08:24:00Z</dcterms:created>
  <dcterms:modified xsi:type="dcterms:W3CDTF">2026-06-02T04:50:00Z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ies>
</file>